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  <w:gridCol w:w="31"/>
      </w:tblGrid>
      <w:tr w:rsidR="00DF7B60" w:rsidRPr="00C17987" w:rsidTr="007733AA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5A630B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2408F4" w:rsidRDefault="005A56BF" w:rsidP="002408F4">
            <w:pPr>
              <w:pStyle w:val="Listenabsatz"/>
              <w:numPr>
                <w:ilvl w:val="0"/>
                <w:numId w:val="15"/>
              </w:numPr>
              <w:ind w:left="360"/>
              <w:rPr>
                <w:rFonts w:cs="Arial"/>
                <w:sz w:val="20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Krematorium mit </w:t>
            </w:r>
            <w:r w:rsidR="001C189C" w:rsidRPr="005A630B">
              <w:rPr>
                <w:rFonts w:cs="Arial"/>
                <w:sz w:val="22"/>
                <w:szCs w:val="22"/>
              </w:rPr>
              <w:br/>
            </w:r>
            <w:r w:rsidRPr="005A630B">
              <w:rPr>
                <w:rFonts w:cs="Arial"/>
                <w:sz w:val="22"/>
                <w:szCs w:val="22"/>
              </w:rPr>
              <w:t>Infektionsgefährdung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5A630B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5A56BF" w:rsidRDefault="005A56BF" w:rsidP="002408F4">
            <w:pPr>
              <w:pStyle w:val="Listenabsatz"/>
              <w:numPr>
                <w:ilvl w:val="0"/>
                <w:numId w:val="15"/>
              </w:numPr>
              <w:ind w:left="360"/>
              <w:rPr>
                <w:rFonts w:cs="Arial"/>
                <w:sz w:val="20"/>
              </w:rPr>
            </w:pPr>
            <w:r w:rsidRPr="005A630B">
              <w:rPr>
                <w:rFonts w:cs="Arial"/>
                <w:sz w:val="22"/>
                <w:szCs w:val="22"/>
              </w:rPr>
              <w:t>Arbeiten in Krematorien mit Infektionsgefährdung</w:t>
            </w: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F2764B">
              <w:rPr>
                <w:rFonts w:cs="Arial"/>
                <w:b/>
                <w:sz w:val="20"/>
              </w:rPr>
              <w:t xml:space="preserve"> </w:t>
            </w:r>
            <w:r w:rsidR="00EC7FDE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879" w:rsidRPr="007C4F78" w:rsidRDefault="005A630B" w:rsidP="005A630B">
            <w:pPr>
              <w:rPr>
                <w:rFonts w:cs="Arial"/>
                <w:b/>
                <w:sz w:val="22"/>
                <w:szCs w:val="22"/>
              </w:rPr>
            </w:pPr>
            <w:r w:rsidRPr="007C4F78">
              <w:rPr>
                <w:rFonts w:cs="Arial"/>
                <w:b/>
                <w:sz w:val="22"/>
                <w:szCs w:val="22"/>
              </w:rPr>
              <w:t>Firma</w:t>
            </w:r>
            <w:r w:rsidR="006B3879" w:rsidRPr="007C4F7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7733AA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733A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3D31F7" w:rsidRDefault="003D31F7" w:rsidP="0002364E">
            <w:pPr>
              <w:rPr>
                <w:rFonts w:cs="Arial"/>
                <w:sz w:val="20"/>
              </w:rPr>
            </w:pPr>
          </w:p>
          <w:p w:rsidR="003D31F7" w:rsidRDefault="003D31F7" w:rsidP="0002364E">
            <w:pPr>
              <w:rPr>
                <w:rFonts w:cs="Arial"/>
                <w:sz w:val="20"/>
              </w:rPr>
            </w:pPr>
          </w:p>
          <w:p w:rsidR="003D31F7" w:rsidRDefault="003D31F7" w:rsidP="0002364E">
            <w:pPr>
              <w:rPr>
                <w:rFonts w:cs="Arial"/>
                <w:sz w:val="20"/>
              </w:rPr>
            </w:pPr>
          </w:p>
          <w:p w:rsidR="003D31F7" w:rsidRDefault="003D31F7" w:rsidP="0002364E">
            <w:pPr>
              <w:rPr>
                <w:rFonts w:cs="Arial"/>
                <w:sz w:val="20"/>
              </w:rPr>
            </w:pPr>
          </w:p>
          <w:p w:rsidR="003D31F7" w:rsidRDefault="003D31F7" w:rsidP="0002364E">
            <w:pPr>
              <w:rPr>
                <w:rFonts w:cs="Arial"/>
                <w:sz w:val="20"/>
              </w:rPr>
            </w:pPr>
          </w:p>
          <w:p w:rsidR="003D31F7" w:rsidRPr="00C17987" w:rsidRDefault="003D31F7" w:rsidP="0002364E">
            <w:pPr>
              <w:rPr>
                <w:rFonts w:cs="Arial"/>
                <w:sz w:val="20"/>
              </w:rPr>
            </w:pPr>
          </w:p>
          <w:p w:rsidR="00507DB8" w:rsidRDefault="00507DB8" w:rsidP="0002364E">
            <w:pPr>
              <w:rPr>
                <w:rFonts w:cs="Arial"/>
                <w:noProof/>
                <w:sz w:val="20"/>
              </w:rPr>
            </w:pPr>
          </w:p>
          <w:p w:rsidR="00507DB8" w:rsidRDefault="00507DB8" w:rsidP="0002364E">
            <w:pPr>
              <w:rPr>
                <w:rFonts w:cs="Arial"/>
                <w:noProof/>
                <w:sz w:val="20"/>
              </w:rPr>
            </w:pPr>
          </w:p>
          <w:p w:rsidR="007C4F78" w:rsidRDefault="007C4F78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F72D17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90400" cy="504000"/>
                  <wp:effectExtent l="0" t="0" r="635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61AC8" w:rsidRDefault="00061AC8" w:rsidP="00DC030F">
            <w:pPr>
              <w:rPr>
                <w:rFonts w:cs="Arial"/>
                <w:sz w:val="20"/>
              </w:rPr>
            </w:pPr>
          </w:p>
          <w:p w:rsidR="00D50A37" w:rsidRDefault="00DC030F" w:rsidP="00DC030F">
            <w:pPr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 xml:space="preserve">Beschäftigte in Krematorium mit Infektionsgefährdung sind gegenüber einer Vielzahl von </w:t>
            </w:r>
          </w:p>
          <w:p w:rsidR="00DC030F" w:rsidRPr="00B50FED" w:rsidRDefault="00DC030F" w:rsidP="00DC030F">
            <w:pPr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 xml:space="preserve">biologischen Arbeitsstoffen </w:t>
            </w:r>
            <w:r w:rsidR="00EC7FDE" w:rsidRPr="00B50FED">
              <w:rPr>
                <w:rFonts w:cs="Arial"/>
                <w:sz w:val="22"/>
                <w:szCs w:val="22"/>
              </w:rPr>
              <w:t xml:space="preserve">(Biostoffen) </w:t>
            </w:r>
            <w:r w:rsidRPr="00B50FED">
              <w:rPr>
                <w:rFonts w:cs="Arial"/>
                <w:sz w:val="22"/>
                <w:szCs w:val="22"/>
              </w:rPr>
              <w:t>exponiert:</w:t>
            </w:r>
          </w:p>
          <w:p w:rsidR="00DC030F" w:rsidRPr="00B50FED" w:rsidRDefault="00DC030F" w:rsidP="00DC030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 xml:space="preserve">Bakterien mit möglicher infektiöser (z. B. Erreger von Tetanus - Wundstarrkrampf), </w:t>
            </w:r>
            <w:r w:rsidR="00D50A37">
              <w:rPr>
                <w:rFonts w:cs="Arial"/>
                <w:sz w:val="22"/>
                <w:szCs w:val="22"/>
              </w:rPr>
              <w:br/>
            </w:r>
            <w:r w:rsidRPr="00B50FED">
              <w:rPr>
                <w:rFonts w:cs="Arial"/>
                <w:sz w:val="22"/>
                <w:szCs w:val="22"/>
              </w:rPr>
              <w:t>sensibilisierender oder toxischer Wirkung</w:t>
            </w:r>
          </w:p>
          <w:p w:rsidR="00DC030F" w:rsidRPr="00B50FED" w:rsidRDefault="00DC030F" w:rsidP="00DC030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>Schimmelpilze mit möglicher infektiöser, sensibilisierender oder toxischer Wirkung</w:t>
            </w:r>
          </w:p>
          <w:p w:rsidR="00DC030F" w:rsidRPr="00B50FED" w:rsidRDefault="00DC030F" w:rsidP="00DC030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 xml:space="preserve">Viren mit möglicher infektiöser Wirkung (z. B. Hepatitis-A-Virus, Hepatitis-B-Virus, </w:t>
            </w:r>
            <w:r w:rsidR="00D50A37">
              <w:rPr>
                <w:rFonts w:cs="Arial"/>
                <w:sz w:val="22"/>
                <w:szCs w:val="22"/>
              </w:rPr>
              <w:br/>
            </w:r>
            <w:bookmarkStart w:id="0" w:name="_GoBack"/>
            <w:bookmarkEnd w:id="0"/>
            <w:r w:rsidRPr="00B50FED">
              <w:rPr>
                <w:rFonts w:cs="Arial"/>
                <w:sz w:val="22"/>
                <w:szCs w:val="22"/>
              </w:rPr>
              <w:t>Hepatitis-C-Virus)</w:t>
            </w:r>
          </w:p>
          <w:p w:rsidR="00DC030F" w:rsidRPr="00B50FED" w:rsidRDefault="00DC030F" w:rsidP="00DC030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0FED">
              <w:rPr>
                <w:rFonts w:cs="Arial"/>
                <w:sz w:val="22"/>
                <w:szCs w:val="22"/>
              </w:rPr>
              <w:t xml:space="preserve">ggf. </w:t>
            </w:r>
            <w:proofErr w:type="spellStart"/>
            <w:r w:rsidRPr="00B50FED">
              <w:rPr>
                <w:rFonts w:cs="Arial"/>
                <w:sz w:val="22"/>
                <w:szCs w:val="22"/>
              </w:rPr>
              <w:t>Immundefizienz</w:t>
            </w:r>
            <w:proofErr w:type="spellEnd"/>
            <w:r w:rsidRPr="00B50FED">
              <w:rPr>
                <w:rFonts w:cs="Arial"/>
                <w:sz w:val="22"/>
                <w:szCs w:val="22"/>
              </w:rPr>
              <w:t xml:space="preserve">-Virus des Menschen (HIV) und/oder </w:t>
            </w:r>
            <w:proofErr w:type="spellStart"/>
            <w:r w:rsidRPr="00B50FED">
              <w:rPr>
                <w:rFonts w:cs="Arial"/>
                <w:sz w:val="22"/>
                <w:szCs w:val="22"/>
              </w:rPr>
              <w:t>Mycobacterium</w:t>
            </w:r>
            <w:proofErr w:type="spellEnd"/>
            <w:r w:rsidRPr="00B50FED">
              <w:rPr>
                <w:rFonts w:cs="Arial"/>
                <w:sz w:val="22"/>
                <w:szCs w:val="22"/>
              </w:rPr>
              <w:t>-</w:t>
            </w:r>
            <w:proofErr w:type="spellStart"/>
            <w:r w:rsidRPr="00B50FED">
              <w:rPr>
                <w:rFonts w:cs="Arial"/>
                <w:sz w:val="22"/>
                <w:szCs w:val="22"/>
              </w:rPr>
              <w:t>tuberculosis</w:t>
            </w:r>
            <w:proofErr w:type="spellEnd"/>
            <w:r w:rsidRPr="00B50FED">
              <w:rPr>
                <w:rFonts w:cs="Arial"/>
                <w:sz w:val="22"/>
                <w:szCs w:val="22"/>
              </w:rPr>
              <w:t>-Komplex - Erreger der Tuberkulose (Erregernachweise sind meldepflichtig)</w:t>
            </w:r>
          </w:p>
          <w:p w:rsidR="00507DB8" w:rsidRDefault="00507DB8" w:rsidP="00DC030F">
            <w:pPr>
              <w:rPr>
                <w:rFonts w:cs="Arial"/>
                <w:b/>
                <w:sz w:val="22"/>
                <w:szCs w:val="22"/>
              </w:rPr>
            </w:pPr>
          </w:p>
          <w:p w:rsidR="00DC030F" w:rsidRPr="005A630B" w:rsidRDefault="00DC030F" w:rsidP="00DC030F">
            <w:pPr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B50FED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Die Aufnahme </w:t>
            </w:r>
            <w:r w:rsidR="00EC7FDE" w:rsidRPr="005A630B">
              <w:rPr>
                <w:rFonts w:cs="Arial"/>
                <w:sz w:val="22"/>
                <w:szCs w:val="22"/>
              </w:rPr>
              <w:t xml:space="preserve">von Biostoffen </w:t>
            </w:r>
            <w:r w:rsidRPr="005A630B">
              <w:rPr>
                <w:rFonts w:cs="Arial"/>
                <w:sz w:val="22"/>
                <w:szCs w:val="22"/>
              </w:rPr>
              <w:t>erfolgt</w:t>
            </w:r>
            <w:r w:rsidRPr="005A630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A630B">
              <w:rPr>
                <w:rFonts w:cs="Arial"/>
                <w:sz w:val="22"/>
                <w:szCs w:val="22"/>
              </w:rPr>
              <w:t xml:space="preserve">über Tröpfcheninfektion (Einatmen von </w:t>
            </w:r>
          </w:p>
          <w:p w:rsidR="00B50FED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Bioaerosolen) und über Schmierinfektion (z. B. Berühren des Mundes mit </w:t>
            </w:r>
          </w:p>
          <w:p w:rsidR="00B50FED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verschmutzten Händen durch kontaminierte Gegenstände oder Handschuhe). </w:t>
            </w:r>
          </w:p>
          <w:p w:rsidR="00B50FED" w:rsidRDefault="00EC7FDE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Biostoffe </w:t>
            </w:r>
            <w:r w:rsidR="00DC030F" w:rsidRPr="005A630B">
              <w:rPr>
                <w:rFonts w:cs="Arial"/>
                <w:sz w:val="22"/>
                <w:szCs w:val="22"/>
              </w:rPr>
              <w:t xml:space="preserve">können auch durch Verzehr in den Verdauungstrakt gelangen sowie </w:t>
            </w:r>
          </w:p>
          <w:p w:rsidR="00B50FED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über die Schleimhaut (z. B. Mundschleimhaut, Rachenschleimhaut, Nasenschleimhaut,</w:t>
            </w:r>
          </w:p>
          <w:p w:rsidR="00DC030F" w:rsidRPr="005A630B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Bindehaut des Auges) und über Wunden bzw. vorgeschädigte Haut in den Körper gelangen. </w:t>
            </w:r>
          </w:p>
          <w:p w:rsidR="00507DB8" w:rsidRDefault="00507DB8" w:rsidP="00DC030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DC030F" w:rsidRPr="005A630B" w:rsidRDefault="00DC030F" w:rsidP="00DC030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Pr="005A630B" w:rsidRDefault="00DC030F" w:rsidP="00DC030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Durch günstige Bedingungen oder ein schwaches Immunsystem können </w:t>
            </w:r>
            <w:r w:rsidR="00EC7FDE" w:rsidRPr="005A630B">
              <w:rPr>
                <w:rFonts w:cs="Arial"/>
                <w:sz w:val="22"/>
                <w:szCs w:val="22"/>
              </w:rPr>
              <w:t xml:space="preserve">Biostoffe </w:t>
            </w:r>
            <w:r w:rsidRPr="005A630B">
              <w:rPr>
                <w:rFonts w:cs="Arial"/>
                <w:sz w:val="22"/>
                <w:szCs w:val="22"/>
              </w:rPr>
              <w:t xml:space="preserve">schwere Krankheiten beim Menschen hervorrufen und stellen dann eine ernste Gefahr für die Beschäftigten dar. Einige </w:t>
            </w:r>
            <w:r w:rsidR="00EC7FDE" w:rsidRPr="005A630B">
              <w:rPr>
                <w:rFonts w:cs="Arial"/>
                <w:sz w:val="22"/>
                <w:szCs w:val="22"/>
              </w:rPr>
              <w:t xml:space="preserve">Biostoffe </w:t>
            </w:r>
            <w:r w:rsidRPr="005A630B">
              <w:rPr>
                <w:rFonts w:cs="Arial"/>
                <w:sz w:val="22"/>
                <w:szCs w:val="22"/>
              </w:rPr>
              <w:t>können sensibilisierende oder toxische Wirkungen beim Menschen hervorrufen.</w:t>
            </w:r>
          </w:p>
          <w:p w:rsidR="00061AC8" w:rsidRPr="00DC030F" w:rsidRDefault="00061AC8" w:rsidP="00DC030F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7733A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733AA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80332" w:rsidRDefault="00180332" w:rsidP="0018033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3D31F7" w:rsidRDefault="003D31F7" w:rsidP="0018033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733AA" w:rsidRDefault="007733AA" w:rsidP="00180332">
            <w:pPr>
              <w:ind w:right="85"/>
              <w:rPr>
                <w:noProof/>
              </w:rPr>
            </w:pPr>
          </w:p>
          <w:p w:rsidR="007733AA" w:rsidRDefault="007733AA" w:rsidP="00180332">
            <w:pPr>
              <w:ind w:right="85"/>
              <w:rPr>
                <w:noProof/>
              </w:rPr>
            </w:pPr>
          </w:p>
          <w:p w:rsidR="00180332" w:rsidRPr="00C17987" w:rsidRDefault="00F72D17" w:rsidP="00180332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332" w:rsidRPr="00C17987" w:rsidRDefault="00F72D17" w:rsidP="00180332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332" w:rsidRPr="00C17987" w:rsidRDefault="00F72D17" w:rsidP="00180332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332" w:rsidRPr="00C17987" w:rsidRDefault="00F72D17" w:rsidP="0018033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332" w:rsidRDefault="00F72D17" w:rsidP="0018033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332" w:rsidRDefault="00180332" w:rsidP="0018033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180332" w:rsidRPr="007A1DA2" w:rsidRDefault="00180332" w:rsidP="00180332">
            <w:pPr>
              <w:ind w:right="85"/>
              <w:rPr>
                <w:rFonts w:cs="Arial"/>
                <w:szCs w:val="24"/>
              </w:rPr>
            </w:pP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61AC8" w:rsidRDefault="00061AC8" w:rsidP="00F5060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F50606" w:rsidRPr="005A630B" w:rsidRDefault="00F50606" w:rsidP="00F50606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F50606" w:rsidRPr="005A630B" w:rsidRDefault="00F50606" w:rsidP="00507DB8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B50FED">
              <w:rPr>
                <w:rFonts w:cs="Arial"/>
                <w:sz w:val="22"/>
                <w:szCs w:val="22"/>
              </w:rPr>
              <w:br/>
            </w:r>
            <w:r w:rsidRPr="005A630B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F50606" w:rsidRPr="005A630B" w:rsidRDefault="00F50606" w:rsidP="00507DB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Arbeitsbereich und verwendete Arbeitsmittel sind sachgerecht zu reinigen und </w:t>
            </w:r>
            <w:r w:rsidR="00B50FED">
              <w:rPr>
                <w:rFonts w:cs="Arial"/>
                <w:sz w:val="22"/>
                <w:szCs w:val="22"/>
              </w:rPr>
              <w:br/>
            </w:r>
            <w:r w:rsidRPr="005A630B">
              <w:rPr>
                <w:rFonts w:cs="Arial"/>
                <w:sz w:val="22"/>
                <w:szCs w:val="22"/>
              </w:rPr>
              <w:t>zu desinfizieren (Reinigungs- und Desinfektionsplan beachten).</w:t>
            </w:r>
          </w:p>
          <w:p w:rsidR="008920EE" w:rsidRPr="005A630B" w:rsidRDefault="008920EE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Nach Verlassen des Arbeitsbereiches ist PSA zum mehrfachen Gebrauch</w:t>
            </w:r>
            <w:r w:rsidR="00B50FED">
              <w:rPr>
                <w:rFonts w:cs="Arial"/>
                <w:sz w:val="22"/>
                <w:szCs w:val="22"/>
              </w:rPr>
              <w:br/>
            </w:r>
            <w:r w:rsidRPr="005A630B">
              <w:rPr>
                <w:rFonts w:cs="Arial"/>
                <w:sz w:val="22"/>
                <w:szCs w:val="22"/>
              </w:rPr>
              <w:t>(Korbbrille, Schuhwerk) abzulegen, sachgerecht zu reinigen und zu desinfizieren.</w:t>
            </w:r>
          </w:p>
          <w:p w:rsidR="007733AA" w:rsidRDefault="007733AA" w:rsidP="00F50606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F50606" w:rsidRPr="005A630B" w:rsidRDefault="00F50606" w:rsidP="00F50606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A630B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Eine Impfung gegen Tetanus ist verfügbar und wird empfohlen.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Eine Immunisierung durch einen Kombinationsimpfstoff, der gegen Hepatitis-A-Infektionen und Hepatitis-B-Infektionen schützt, ist zu empfehlen.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Bioaerosole sind durch geeignete Arbeitsverfahren zu vermeiden oder zu reduzieren.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Der Kontakt mit Fäkalien, mit fäkalienverunreinigtem Wasser oder Gegenständen ist zu vermeiden.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Skalpell und Spritzen sind abzudecken.</w:t>
            </w:r>
          </w:p>
          <w:p w:rsidR="00F50606" w:rsidRPr="005A630B" w:rsidRDefault="00F50606" w:rsidP="00F5060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Zum Entfernen von Sargbeschlägen und -füßen sind sichere Arbeitsverfahren zu wählen.</w:t>
            </w:r>
          </w:p>
          <w:p w:rsidR="0072651C" w:rsidRPr="00DA3173" w:rsidRDefault="00F50606" w:rsidP="00DA3173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0"/>
              </w:rPr>
            </w:pPr>
            <w:r w:rsidRPr="005A630B">
              <w:rPr>
                <w:rFonts w:cs="Arial"/>
                <w:sz w:val="22"/>
                <w:szCs w:val="22"/>
              </w:rPr>
              <w:t>Oberflächen müssen gla</w:t>
            </w:r>
            <w:r w:rsidR="00DA3173" w:rsidRPr="005A630B">
              <w:rPr>
                <w:rFonts w:cs="Arial"/>
                <w:sz w:val="22"/>
                <w:szCs w:val="22"/>
              </w:rPr>
              <w:t>tt und leicht zu reinigen sein.</w:t>
            </w:r>
            <w:r w:rsidR="00061AC8">
              <w:rPr>
                <w:rFonts w:cs="Arial"/>
                <w:sz w:val="20"/>
              </w:rPr>
              <w:br/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DA3173" w:rsidRPr="00C17987" w:rsidTr="007733AA">
        <w:trPr>
          <w:trHeight w:hRule="exact" w:val="346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008000"/>
            <w:noWrap/>
          </w:tcPr>
          <w:p w:rsidR="00DA3173" w:rsidRPr="00C17987" w:rsidRDefault="00DA3173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</w:tcPr>
          <w:p w:rsidR="00DA3173" w:rsidRPr="00F50606" w:rsidRDefault="00DA3173" w:rsidP="00DA3173">
            <w:pPr>
              <w:rPr>
                <w:b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</w:p>
        </w:tc>
      </w:tr>
      <w:tr w:rsidR="00DA3173" w:rsidRPr="00C17987" w:rsidTr="007733AA">
        <w:trPr>
          <w:gridAfter w:val="1"/>
          <w:wAfter w:w="31" w:type="dxa"/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  <w:r>
              <w:lastRenderedPageBreak/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008000"/>
            <w:noWrap/>
          </w:tcPr>
          <w:p w:rsidR="00DA3173" w:rsidRPr="00C17987" w:rsidRDefault="00DA3173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vAlign w:val="center"/>
          </w:tcPr>
          <w:p w:rsidR="00DA3173" w:rsidRPr="00F50606" w:rsidRDefault="00DA3173" w:rsidP="00DA3173">
            <w:pPr>
              <w:jc w:val="center"/>
              <w:rPr>
                <w:b/>
                <w:sz w:val="20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</w:p>
        </w:tc>
      </w:tr>
      <w:tr w:rsidR="00DA3173" w:rsidRPr="00C17987" w:rsidTr="007733AA">
        <w:trPr>
          <w:gridAfter w:val="1"/>
          <w:wAfter w:w="31" w:type="dxa"/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D31F7" w:rsidRDefault="003D31F7" w:rsidP="0002364E">
            <w:pPr>
              <w:ind w:right="85"/>
              <w:rPr>
                <w:rFonts w:cs="Arial"/>
                <w:noProof/>
                <w:sz w:val="20"/>
              </w:rPr>
            </w:pPr>
          </w:p>
          <w:p w:rsidR="003D31F7" w:rsidRDefault="003D31F7" w:rsidP="0002364E">
            <w:pPr>
              <w:ind w:right="85"/>
              <w:rPr>
                <w:rFonts w:cs="Arial"/>
                <w:noProof/>
                <w:sz w:val="20"/>
              </w:rPr>
            </w:pPr>
          </w:p>
          <w:p w:rsidR="007733AA" w:rsidRDefault="007733AA" w:rsidP="0002364E">
            <w:pPr>
              <w:ind w:right="85"/>
              <w:rPr>
                <w:rFonts w:cs="Arial"/>
                <w:noProof/>
                <w:sz w:val="20"/>
              </w:rPr>
            </w:pPr>
          </w:p>
          <w:p w:rsidR="007733AA" w:rsidRDefault="007733AA" w:rsidP="0002364E">
            <w:pPr>
              <w:ind w:right="85"/>
              <w:rPr>
                <w:rFonts w:cs="Arial"/>
                <w:noProof/>
                <w:sz w:val="20"/>
              </w:rPr>
            </w:pPr>
          </w:p>
          <w:p w:rsidR="00DA3173" w:rsidRDefault="003D31F7" w:rsidP="0002364E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32C03A3" wp14:editId="3A944447">
                  <wp:extent cx="504000" cy="504000"/>
                  <wp:effectExtent l="0" t="0" r="0" b="0"/>
                  <wp:docPr id="10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1F7" w:rsidRPr="00C17987" w:rsidRDefault="003D31F7" w:rsidP="0002364E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38C3C20" wp14:editId="55EB5331">
                  <wp:extent cx="504000" cy="504000"/>
                  <wp:effectExtent l="0" t="0" r="0" b="0"/>
                  <wp:docPr id="11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61AC8" w:rsidRDefault="00061AC8" w:rsidP="00DA3173">
            <w:pPr>
              <w:rPr>
                <w:b/>
                <w:sz w:val="20"/>
              </w:rPr>
            </w:pPr>
          </w:p>
          <w:p w:rsidR="00DA3173" w:rsidRPr="005A630B" w:rsidRDefault="00DA3173" w:rsidP="00DA3173">
            <w:pPr>
              <w:rPr>
                <w:b/>
                <w:sz w:val="22"/>
                <w:szCs w:val="22"/>
              </w:rPr>
            </w:pPr>
            <w:r w:rsidRPr="005A630B">
              <w:rPr>
                <w:b/>
                <w:sz w:val="22"/>
                <w:szCs w:val="22"/>
              </w:rPr>
              <w:t xml:space="preserve">Empfohlene PSA </w:t>
            </w:r>
            <w:r w:rsidRPr="005A630B">
              <w:rPr>
                <w:rFonts w:cs="Arial"/>
                <w:b/>
                <w:sz w:val="22"/>
                <w:szCs w:val="22"/>
              </w:rPr>
              <w:t xml:space="preserve">bei Möglichkeit des Kontakts zu Blut und anderen Körperflüssigkeiten z. B. beim Berühren von </w:t>
            </w:r>
            <w:r w:rsidRPr="005A630B">
              <w:rPr>
                <w:rFonts w:cs="Arial"/>
                <w:b/>
                <w:iCs/>
                <w:sz w:val="22"/>
                <w:szCs w:val="22"/>
              </w:rPr>
              <w:t>Leichnamen:</w:t>
            </w:r>
          </w:p>
          <w:p w:rsidR="00DA3173" w:rsidRPr="005A630B" w:rsidRDefault="00DA3173" w:rsidP="00DA317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Korbbrille</w:t>
            </w:r>
          </w:p>
          <w:p w:rsidR="00DA3173" w:rsidRPr="005A630B" w:rsidRDefault="00DA3173" w:rsidP="00DA317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flüssigkeitsdichte Schürze oder Chemikalienschutzanzug, z. B. Einweg-Overall Chemikalienschutz Typ 4B</w:t>
            </w:r>
          </w:p>
          <w:p w:rsidR="00DA3173" w:rsidRPr="005A630B" w:rsidRDefault="00DA3173" w:rsidP="00DA317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:rsidR="00DA3173" w:rsidRPr="005A630B" w:rsidRDefault="00DA3173" w:rsidP="00DA317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5A630B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5A630B">
              <w:rPr>
                <w:rFonts w:cs="Arial"/>
                <w:sz w:val="22"/>
                <w:szCs w:val="22"/>
              </w:rPr>
              <w:t xml:space="preserve"> Schuhe oder Stiefel</w:t>
            </w:r>
          </w:p>
          <w:p w:rsidR="00DA3173" w:rsidRPr="005A630B" w:rsidRDefault="00DA3173" w:rsidP="00DA317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DA3173" w:rsidRPr="005A630B" w:rsidRDefault="00DA3173" w:rsidP="00DA3173">
            <w:pPr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Bei einer zweiten Leichenschau (Öffnen der Särge) sind </w:t>
            </w:r>
            <w:r w:rsidRPr="005A630B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Pr="005A630B">
              <w:rPr>
                <w:rFonts w:cs="Arial"/>
                <w:sz w:val="22"/>
                <w:szCs w:val="22"/>
              </w:rPr>
              <w:t xml:space="preserve"> mit ausreichender mechanischer Belastbarkeit zu verwenden.</w:t>
            </w:r>
          </w:p>
          <w:p w:rsidR="00DA3173" w:rsidRPr="005A630B" w:rsidRDefault="00DA3173" w:rsidP="00DA3173">
            <w:pPr>
              <w:rPr>
                <w:rFonts w:cs="Arial"/>
                <w:sz w:val="22"/>
                <w:szCs w:val="22"/>
              </w:rPr>
            </w:pPr>
          </w:p>
          <w:p w:rsidR="00DA3173" w:rsidRPr="005A630B" w:rsidRDefault="00DA3173" w:rsidP="00DA317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 xml:space="preserve">Beim Aufrichten von Leichnamen oder Haare </w:t>
            </w:r>
            <w:proofErr w:type="spellStart"/>
            <w:r w:rsidRPr="005A630B">
              <w:rPr>
                <w:rFonts w:cs="Arial"/>
                <w:sz w:val="22"/>
                <w:szCs w:val="22"/>
              </w:rPr>
              <w:t>fönen</w:t>
            </w:r>
            <w:proofErr w:type="spellEnd"/>
            <w:r w:rsidRPr="005A630B">
              <w:rPr>
                <w:rFonts w:cs="Arial"/>
                <w:bCs/>
                <w:sz w:val="22"/>
                <w:szCs w:val="22"/>
              </w:rPr>
              <w:t>, Aerosole!</w:t>
            </w:r>
            <w:r w:rsidRPr="005A630B">
              <w:rPr>
                <w:rFonts w:cs="Arial"/>
                <w:sz w:val="22"/>
                <w:szCs w:val="22"/>
              </w:rPr>
              <w:t xml:space="preserve"> ist partikelfiltrierender Atemschutz (im Handel erhältlich als Feinstaubmaske) FFP3 mit Ausatemventil zu verwenden.</w:t>
            </w:r>
          </w:p>
          <w:p w:rsidR="00061AC8" w:rsidRPr="00F50606" w:rsidRDefault="00061AC8" w:rsidP="00DA3173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A3173" w:rsidRPr="00C17987" w:rsidRDefault="00DA3173" w:rsidP="0002364E">
            <w:pPr>
              <w:rPr>
                <w:rFonts w:cs="Arial"/>
                <w:sz w:val="20"/>
              </w:rPr>
            </w:pPr>
          </w:p>
        </w:tc>
      </w:tr>
      <w:tr w:rsidR="00050947" w:rsidRPr="00C17987" w:rsidTr="007733AA">
        <w:trPr>
          <w:gridAfter w:val="1"/>
          <w:wAfter w:w="31" w:type="dxa"/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733AA">
        <w:trPr>
          <w:gridAfter w:val="1"/>
          <w:wAfter w:w="31" w:type="dxa"/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61AC8" w:rsidRDefault="00061AC8" w:rsidP="00061AC8">
            <w:pPr>
              <w:ind w:left="360"/>
              <w:rPr>
                <w:rFonts w:cs="Arial"/>
                <w:sz w:val="20"/>
              </w:rPr>
            </w:pPr>
          </w:p>
          <w:p w:rsidR="00F50606" w:rsidRPr="005A630B" w:rsidRDefault="00F50606" w:rsidP="00F5060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möglichen Infektionsquellen.</w:t>
            </w:r>
          </w:p>
          <w:p w:rsidR="00F50606" w:rsidRPr="005A630B" w:rsidRDefault="00F50606" w:rsidP="00F5060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061AC8" w:rsidRPr="005A630B">
              <w:rPr>
                <w:rFonts w:cs="Arial"/>
                <w:sz w:val="22"/>
                <w:szCs w:val="22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7733AA" w:rsidRPr="00C17987" w:rsidRDefault="007733AA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310B1A" w:rsidRPr="00C17987" w:rsidTr="007733AA">
        <w:trPr>
          <w:gridAfter w:val="1"/>
          <w:wAfter w:w="31" w:type="dxa"/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310B1A" w:rsidRPr="00C17987" w:rsidRDefault="00310B1A" w:rsidP="00CC45B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310B1A" w:rsidRPr="00C17A88" w:rsidRDefault="00310B1A" w:rsidP="00CC45B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310B1A" w:rsidRPr="00C576E1" w:rsidRDefault="00310B1A" w:rsidP="00CC45B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310B1A" w:rsidRPr="00C17987" w:rsidRDefault="00310B1A" w:rsidP="00CC45B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733AA">
        <w:trPr>
          <w:gridAfter w:val="1"/>
          <w:wAfter w:w="31" w:type="dxa"/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7733AA" w:rsidRDefault="007733AA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F72D17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61AC8" w:rsidRDefault="00061AC8" w:rsidP="00061AC8">
            <w:pPr>
              <w:autoSpaceDE w:val="0"/>
              <w:autoSpaceDN w:val="0"/>
              <w:adjustRightInd w:val="0"/>
              <w:ind w:left="360"/>
              <w:rPr>
                <w:rFonts w:cs="Arial"/>
                <w:sz w:val="20"/>
              </w:rPr>
            </w:pPr>
          </w:p>
          <w:p w:rsidR="00F50606" w:rsidRPr="005A630B" w:rsidRDefault="00F50606" w:rsidP="001C189C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5A630B">
              <w:rPr>
                <w:rFonts w:cs="Arial"/>
                <w:sz w:val="22"/>
                <w:szCs w:val="22"/>
              </w:rPr>
              <w:t>Verletzungen sind dem Verantwortlichen im Betrieb zu melden, in das Verbandbuch einzutragen und ggf. ist ein Arzt aufzusuchen.</w:t>
            </w:r>
          </w:p>
          <w:p w:rsidR="00F50606" w:rsidRPr="00F50606" w:rsidRDefault="00F50606" w:rsidP="001C189C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42"/>
              <w:rPr>
                <w:rFonts w:cs="Arial"/>
                <w:sz w:val="20"/>
              </w:rPr>
            </w:pPr>
            <w:r w:rsidRPr="005A630B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061AC8">
              <w:rPr>
                <w:rFonts w:cs="Arial"/>
                <w:sz w:val="20"/>
              </w:rPr>
              <w:br/>
            </w:r>
          </w:p>
          <w:p w:rsidR="00085AA9" w:rsidRDefault="00310B1A" w:rsidP="001C189C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7733AA" w:rsidRPr="00B32A0E" w:rsidRDefault="007733AA" w:rsidP="001C189C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7733AA">
        <w:trPr>
          <w:gridAfter w:val="1"/>
          <w:wAfter w:w="31" w:type="dxa"/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733AA">
        <w:trPr>
          <w:gridAfter w:val="1"/>
          <w:wAfter w:w="31" w:type="dxa"/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1AC8" w:rsidRPr="00061AC8" w:rsidRDefault="00061AC8" w:rsidP="00061AC8">
            <w:pPr>
              <w:ind w:left="360"/>
              <w:rPr>
                <w:rFonts w:cs="Arial"/>
                <w:sz w:val="20"/>
              </w:rPr>
            </w:pPr>
          </w:p>
          <w:p w:rsidR="00F50606" w:rsidRPr="005A630B" w:rsidRDefault="00F50606" w:rsidP="00B5538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B55383">
              <w:rPr>
                <w:rFonts w:cs="Arial"/>
                <w:sz w:val="22"/>
                <w:szCs w:val="22"/>
              </w:rPr>
              <w:t>Abfälle (Mullbinden, Pflaster, Kanülen usw.) sind in speziellen geeigneten und gekennzeichneten Behältern zu sammeln und der Entsorgung zuzuführen.</w:t>
            </w:r>
          </w:p>
          <w:p w:rsidR="0072651C" w:rsidRPr="00F50606" w:rsidRDefault="00F50606" w:rsidP="00B5538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Cs w:val="24"/>
              </w:rPr>
            </w:pPr>
            <w:r w:rsidRPr="005A630B">
              <w:rPr>
                <w:rFonts w:cs="Arial"/>
                <w:sz w:val="22"/>
                <w:szCs w:val="22"/>
              </w:rPr>
              <w:t>PSA zum einmaligen Gebrauch (</w:t>
            </w:r>
            <w:r w:rsidRPr="00B55383">
              <w:rPr>
                <w:rFonts w:cs="Arial"/>
                <w:sz w:val="22"/>
                <w:szCs w:val="22"/>
              </w:rPr>
              <w:t>Feinstaubmaske</w:t>
            </w:r>
            <w:r w:rsidRPr="005A630B">
              <w:rPr>
                <w:rFonts w:cs="Arial"/>
                <w:sz w:val="22"/>
                <w:szCs w:val="22"/>
              </w:rPr>
              <w:t xml:space="preserve">, Einweg-Overall, </w:t>
            </w:r>
            <w:r w:rsidRPr="00B55383">
              <w:rPr>
                <w:rFonts w:cs="Arial"/>
                <w:sz w:val="22"/>
                <w:szCs w:val="22"/>
              </w:rPr>
              <w:t>Einweg-Schutzhandschuhe</w:t>
            </w:r>
            <w:r w:rsidRPr="005A630B">
              <w:rPr>
                <w:rFonts w:cs="Arial"/>
                <w:sz w:val="22"/>
                <w:szCs w:val="22"/>
              </w:rPr>
              <w:t xml:space="preserve">) </w:t>
            </w:r>
            <w:r w:rsidR="00507DB8">
              <w:rPr>
                <w:rFonts w:cs="Arial"/>
                <w:sz w:val="22"/>
                <w:szCs w:val="22"/>
              </w:rPr>
              <w:br/>
            </w:r>
            <w:r w:rsidRPr="005A630B">
              <w:rPr>
                <w:rFonts w:cs="Arial"/>
                <w:sz w:val="22"/>
                <w:szCs w:val="22"/>
              </w:rPr>
              <w:t>ist in dicht schließenden Behältern zu entsorgen.</w:t>
            </w:r>
            <w:r w:rsidR="00061AC8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55383" w:rsidTr="007733AA">
        <w:tblPrEx>
          <w:tblLook w:val="04A0" w:firstRow="1" w:lastRow="0" w:firstColumn="1" w:lastColumn="0" w:noHBand="0" w:noVBand="1"/>
        </w:tblPrEx>
        <w:trPr>
          <w:gridAfter w:val="1"/>
          <w:wAfter w:w="31" w:type="dxa"/>
          <w:trHeight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shd w:val="clear" w:color="auto" w:fill="008000"/>
            <w:noWrap/>
            <w:vAlign w:val="center"/>
          </w:tcPr>
          <w:p w:rsidR="00B55383" w:rsidRDefault="00B55383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B55383" w:rsidTr="007733AA">
        <w:tblPrEx>
          <w:tblLook w:val="04A0" w:firstRow="1" w:lastRow="0" w:firstColumn="1" w:lastColumn="0" w:noHBand="0" w:noVBand="1"/>
        </w:tblPrEx>
        <w:trPr>
          <w:gridAfter w:val="1"/>
          <w:wAfter w:w="31" w:type="dxa"/>
          <w:trHeight w:val="679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noWrap/>
            <w:hideMark/>
          </w:tcPr>
          <w:tbl>
            <w:tblPr>
              <w:tblStyle w:val="Tabellenrast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B5538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383" w:rsidRDefault="00B5538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:rsidR="00B55383" w:rsidRDefault="00B5538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383" w:rsidRDefault="00B5538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B5538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55383" w:rsidRDefault="00B5538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B55383" w:rsidRDefault="00B55383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B55383" w:rsidTr="007733AA">
        <w:tblPrEx>
          <w:tblLook w:val="04A0" w:firstRow="1" w:lastRow="0" w:firstColumn="1" w:lastColumn="0" w:noHBand="0" w:noVBand="1"/>
        </w:tblPrEx>
        <w:trPr>
          <w:gridAfter w:val="1"/>
          <w:wAfter w:w="31" w:type="dxa"/>
          <w:trHeight w:hRule="exact" w:val="248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shd w:val="clear" w:color="auto" w:fill="008000"/>
            <w:noWrap/>
            <w:vAlign w:val="center"/>
          </w:tcPr>
          <w:p w:rsidR="00B55383" w:rsidRDefault="00B55383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B55383" w:rsidRDefault="00B553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</w:tbl>
    <w:p w:rsidR="00901A2D" w:rsidRPr="00901A2D" w:rsidRDefault="00901A2D" w:rsidP="00901A2D">
      <w:pPr>
        <w:rPr>
          <w:sz w:val="20"/>
        </w:rPr>
      </w:pPr>
    </w:p>
    <w:p w:rsidR="00901A2D" w:rsidRPr="00901A2D" w:rsidRDefault="00901A2D" w:rsidP="00901A2D">
      <w:pPr>
        <w:jc w:val="center"/>
        <w:rPr>
          <w:sz w:val="12"/>
          <w:szCs w:val="12"/>
        </w:rPr>
      </w:pPr>
      <w:r w:rsidRPr="00901A2D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5A630B">
        <w:rPr>
          <w:sz w:val="12"/>
          <w:szCs w:val="12"/>
        </w:rPr>
        <w:t>08/</w:t>
      </w:r>
      <w:r w:rsidRPr="00901A2D">
        <w:rPr>
          <w:sz w:val="12"/>
          <w:szCs w:val="12"/>
        </w:rPr>
        <w:t>2023</w:t>
      </w:r>
    </w:p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97" w:rsidRDefault="00B00A97">
      <w:r>
        <w:separator/>
      </w:r>
    </w:p>
  </w:endnote>
  <w:endnote w:type="continuationSeparator" w:id="0">
    <w:p w:rsidR="00B00A97" w:rsidRDefault="00B0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79" w:rsidRDefault="006B3879" w:rsidP="003867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B3879" w:rsidRDefault="006B3879" w:rsidP="00DA317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79" w:rsidRPr="00DA3173" w:rsidRDefault="006B3879" w:rsidP="00DA3173">
    <w:pPr>
      <w:pStyle w:val="Fuzeile"/>
      <w:ind w:right="36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97" w:rsidRDefault="00B00A97">
      <w:r>
        <w:separator/>
      </w:r>
    </w:p>
  </w:footnote>
  <w:footnote w:type="continuationSeparator" w:id="0">
    <w:p w:rsidR="00B00A97" w:rsidRDefault="00B0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10B"/>
    <w:multiLevelType w:val="hybridMultilevel"/>
    <w:tmpl w:val="B030A022"/>
    <w:lvl w:ilvl="0" w:tplc="ADEA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10B8E"/>
    <w:multiLevelType w:val="hybridMultilevel"/>
    <w:tmpl w:val="EE70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73638"/>
    <w:multiLevelType w:val="hybridMultilevel"/>
    <w:tmpl w:val="98186D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5B58C0"/>
    <w:multiLevelType w:val="hybridMultilevel"/>
    <w:tmpl w:val="07943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1AC8"/>
    <w:rsid w:val="00067A91"/>
    <w:rsid w:val="00085AA9"/>
    <w:rsid w:val="000A6031"/>
    <w:rsid w:val="000B1164"/>
    <w:rsid w:val="000D47C5"/>
    <w:rsid w:val="00180332"/>
    <w:rsid w:val="001C0E67"/>
    <w:rsid w:val="001C189C"/>
    <w:rsid w:val="001D1990"/>
    <w:rsid w:val="00213F21"/>
    <w:rsid w:val="002408F4"/>
    <w:rsid w:val="00285F7C"/>
    <w:rsid w:val="003071EA"/>
    <w:rsid w:val="00310B1A"/>
    <w:rsid w:val="0036710E"/>
    <w:rsid w:val="00384857"/>
    <w:rsid w:val="003867D4"/>
    <w:rsid w:val="003D31F7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A21CF"/>
    <w:rsid w:val="00507DB8"/>
    <w:rsid w:val="00537CE2"/>
    <w:rsid w:val="005A56BF"/>
    <w:rsid w:val="005A630B"/>
    <w:rsid w:val="005A7749"/>
    <w:rsid w:val="005D42F2"/>
    <w:rsid w:val="005E63D2"/>
    <w:rsid w:val="0064376A"/>
    <w:rsid w:val="00684FB6"/>
    <w:rsid w:val="006A1BFC"/>
    <w:rsid w:val="006A1F4F"/>
    <w:rsid w:val="006B3879"/>
    <w:rsid w:val="006C10CC"/>
    <w:rsid w:val="006F4360"/>
    <w:rsid w:val="00716E93"/>
    <w:rsid w:val="0072651C"/>
    <w:rsid w:val="007733AA"/>
    <w:rsid w:val="007B29F8"/>
    <w:rsid w:val="007C4F78"/>
    <w:rsid w:val="00870A59"/>
    <w:rsid w:val="008920EE"/>
    <w:rsid w:val="008E2BB3"/>
    <w:rsid w:val="008F43FB"/>
    <w:rsid w:val="00901A2D"/>
    <w:rsid w:val="0092403E"/>
    <w:rsid w:val="00965171"/>
    <w:rsid w:val="009A5B2D"/>
    <w:rsid w:val="009B1620"/>
    <w:rsid w:val="009B674F"/>
    <w:rsid w:val="009C4638"/>
    <w:rsid w:val="00A22881"/>
    <w:rsid w:val="00A374D5"/>
    <w:rsid w:val="00A84A7B"/>
    <w:rsid w:val="00A93AA3"/>
    <w:rsid w:val="00AE6068"/>
    <w:rsid w:val="00B00A97"/>
    <w:rsid w:val="00B23EA7"/>
    <w:rsid w:val="00B32A0E"/>
    <w:rsid w:val="00B50FED"/>
    <w:rsid w:val="00B55383"/>
    <w:rsid w:val="00B90DE9"/>
    <w:rsid w:val="00BA0811"/>
    <w:rsid w:val="00BF1D7F"/>
    <w:rsid w:val="00BF4EA3"/>
    <w:rsid w:val="00C17987"/>
    <w:rsid w:val="00C17A88"/>
    <w:rsid w:val="00C31BDD"/>
    <w:rsid w:val="00C33065"/>
    <w:rsid w:val="00CA5E3B"/>
    <w:rsid w:val="00CD3F08"/>
    <w:rsid w:val="00CE4E26"/>
    <w:rsid w:val="00D00D3F"/>
    <w:rsid w:val="00D11F7B"/>
    <w:rsid w:val="00D50A37"/>
    <w:rsid w:val="00D75CF2"/>
    <w:rsid w:val="00D77095"/>
    <w:rsid w:val="00DA3173"/>
    <w:rsid w:val="00DB4519"/>
    <w:rsid w:val="00DC030F"/>
    <w:rsid w:val="00DF7B60"/>
    <w:rsid w:val="00E845BE"/>
    <w:rsid w:val="00E8701F"/>
    <w:rsid w:val="00EA4687"/>
    <w:rsid w:val="00EC7FDE"/>
    <w:rsid w:val="00EF790E"/>
    <w:rsid w:val="00F2764B"/>
    <w:rsid w:val="00F50606"/>
    <w:rsid w:val="00F578ED"/>
    <w:rsid w:val="00F72D17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90B8F"/>
  <w15:chartTrackingRefBased/>
  <w15:docId w15:val="{5DE95DA4-9648-4B1D-864A-969AB3D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DA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317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A3173"/>
  </w:style>
  <w:style w:type="paragraph" w:styleId="Listenabsatz">
    <w:name w:val="List Paragraph"/>
    <w:basedOn w:val="Standard"/>
    <w:uiPriority w:val="34"/>
    <w:qFormat/>
    <w:rsid w:val="0024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4414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Krematorium mit Infektionsgefaehrdung</vt:lpstr>
    </vt:vector>
  </TitlesOfParts>
  <Company>SVLFG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Krematorium mit Infektionsgefaehrdung</dc:title>
  <dc:subject/>
  <dc:creator/>
  <cp:keywords/>
  <dc:description/>
  <cp:lastModifiedBy>Huber, Michael</cp:lastModifiedBy>
  <cp:revision>11</cp:revision>
  <cp:lastPrinted>2012-08-15T09:54:00Z</cp:lastPrinted>
  <dcterms:created xsi:type="dcterms:W3CDTF">2023-01-25T09:44:00Z</dcterms:created>
  <dcterms:modified xsi:type="dcterms:W3CDTF">2023-08-10T06:08:00Z</dcterms:modified>
</cp:coreProperties>
</file>