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48"/>
        <w:gridCol w:w="404"/>
        <w:gridCol w:w="1845"/>
        <w:gridCol w:w="165"/>
      </w:tblGrid>
      <w:tr w:rsidR="00DF7B60" w:rsidRPr="00C17987" w:rsidTr="00380683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70C23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C70C23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632531" w:rsidRPr="00C70C23" w:rsidRDefault="00632531" w:rsidP="0063253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C70C23">
              <w:rPr>
                <w:rFonts w:cs="Arial"/>
                <w:sz w:val="22"/>
                <w:szCs w:val="22"/>
              </w:rPr>
              <w:t>Landwirtschaft</w:t>
            </w:r>
          </w:p>
          <w:p w:rsidR="00DC6539" w:rsidRPr="00C70C23" w:rsidRDefault="00DC6539" w:rsidP="00DC653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C70C23">
              <w:rPr>
                <w:rFonts w:cs="Arial"/>
                <w:sz w:val="22"/>
                <w:szCs w:val="22"/>
              </w:rPr>
              <w:t>Forstwirtschaft</w:t>
            </w:r>
          </w:p>
          <w:p w:rsidR="00085AA9" w:rsidRPr="00DC6539" w:rsidRDefault="00632531" w:rsidP="00DC653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0"/>
              </w:rPr>
            </w:pPr>
            <w:r w:rsidRPr="00C70C23">
              <w:rPr>
                <w:rFonts w:cs="Arial"/>
                <w:sz w:val="22"/>
                <w:szCs w:val="22"/>
              </w:rPr>
              <w:t>Gartenbau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C70C23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C70C23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632531" w:rsidRPr="00C70C23" w:rsidRDefault="00632531" w:rsidP="001E2709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121" w:hanging="283"/>
              <w:rPr>
                <w:rFonts w:cs="Arial"/>
                <w:sz w:val="22"/>
                <w:szCs w:val="22"/>
              </w:rPr>
            </w:pPr>
            <w:r w:rsidRPr="00C70C23">
              <w:rPr>
                <w:rFonts w:cs="Arial"/>
                <w:sz w:val="22"/>
                <w:szCs w:val="22"/>
              </w:rPr>
              <w:t>landwirtschaftliche und gartenbauliche Urproduktion</w:t>
            </w:r>
          </w:p>
          <w:p w:rsidR="00632531" w:rsidRPr="00C70C23" w:rsidRDefault="00632531" w:rsidP="00632531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C70C23">
              <w:rPr>
                <w:rFonts w:cs="Arial"/>
                <w:sz w:val="22"/>
                <w:szCs w:val="22"/>
              </w:rPr>
              <w:t>Baumpflegearbeiten</w:t>
            </w:r>
          </w:p>
          <w:p w:rsidR="00DC6539" w:rsidRPr="00C70C23" w:rsidRDefault="00632531" w:rsidP="00DC6539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2"/>
                <w:szCs w:val="22"/>
              </w:rPr>
            </w:pPr>
            <w:r w:rsidRPr="00C70C23">
              <w:rPr>
                <w:rFonts w:cs="Arial"/>
                <w:sz w:val="22"/>
                <w:szCs w:val="22"/>
              </w:rPr>
              <w:t>Pfl</w:t>
            </w:r>
            <w:r w:rsidR="00DC6539" w:rsidRPr="00C70C23">
              <w:rPr>
                <w:rFonts w:cs="Arial"/>
                <w:sz w:val="22"/>
                <w:szCs w:val="22"/>
              </w:rPr>
              <w:t>egearbeiten in Parks und Gärten</w:t>
            </w:r>
          </w:p>
          <w:p w:rsidR="007B29F8" w:rsidRPr="00DC6539" w:rsidRDefault="00632531" w:rsidP="00DC6539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hanging="283"/>
              <w:rPr>
                <w:rFonts w:cs="Arial"/>
                <w:sz w:val="20"/>
              </w:rPr>
            </w:pPr>
            <w:r w:rsidRPr="00C70C23">
              <w:rPr>
                <w:rFonts w:cs="Arial"/>
                <w:sz w:val="22"/>
                <w:szCs w:val="22"/>
              </w:rPr>
              <w:t>Grünpflegearbeiten in Wald und Forst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776827" w:rsidRDefault="0050295F" w:rsidP="009B7930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9B7930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ACC" w:rsidRPr="008A6ACC" w:rsidRDefault="004412B1" w:rsidP="004412B1">
            <w:pPr>
              <w:rPr>
                <w:rFonts w:cs="Arial"/>
                <w:b/>
                <w:sz w:val="20"/>
              </w:rPr>
            </w:pPr>
            <w:r w:rsidRPr="00C70C23">
              <w:rPr>
                <w:rFonts w:cs="Arial"/>
                <w:b/>
                <w:sz w:val="22"/>
                <w:szCs w:val="22"/>
              </w:rPr>
              <w:t>Firma</w:t>
            </w:r>
            <w:r w:rsidR="008A6ACC" w:rsidRPr="00C70C23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9B793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9B7930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EA3AD0" w:rsidRDefault="00EA3AD0" w:rsidP="0002364E">
            <w:pPr>
              <w:jc w:val="center"/>
              <w:rPr>
                <w:rFonts w:cs="Arial"/>
                <w:b/>
                <w:szCs w:val="24"/>
              </w:rPr>
            </w:pPr>
            <w:r w:rsidRPr="00EA3AD0">
              <w:rPr>
                <w:rFonts w:cs="Arial"/>
                <w:b/>
                <w:szCs w:val="24"/>
              </w:rPr>
              <w:t xml:space="preserve">Pflanzenbestandteile mit möglicher </w:t>
            </w:r>
            <w:proofErr w:type="spellStart"/>
            <w:r w:rsidRPr="00EA3AD0">
              <w:rPr>
                <w:rFonts w:cs="Arial"/>
                <w:b/>
                <w:szCs w:val="24"/>
              </w:rPr>
              <w:t>irritativer</w:t>
            </w:r>
            <w:proofErr w:type="spellEnd"/>
            <w:r w:rsidRPr="00EA3AD0">
              <w:rPr>
                <w:rFonts w:cs="Arial"/>
                <w:b/>
                <w:szCs w:val="24"/>
              </w:rPr>
              <w:t xml:space="preserve"> Wirkung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380683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F5F66" w:rsidRDefault="00BF5F66" w:rsidP="0050295F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72651C" w:rsidRDefault="00C17A88" w:rsidP="0050295F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6D69E4">
              <w:rPr>
                <w:rFonts w:cs="Arial"/>
                <w:b/>
                <w:sz w:val="22"/>
                <w:szCs w:val="22"/>
              </w:rPr>
              <w:t>G</w:t>
            </w:r>
            <w:r w:rsidR="00C17987" w:rsidRPr="006D69E4">
              <w:rPr>
                <w:rFonts w:cs="Arial"/>
                <w:b/>
                <w:sz w:val="22"/>
                <w:szCs w:val="22"/>
              </w:rPr>
              <w:t>esundheitliche Wirkungen:</w:t>
            </w:r>
          </w:p>
          <w:p w:rsidR="00BF5F66" w:rsidRPr="006D69E4" w:rsidRDefault="00BF5F66" w:rsidP="0050295F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DC6539" w:rsidRPr="006D69E4" w:rsidRDefault="00EA3AD0" w:rsidP="00DC653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 xml:space="preserve">Von Pflanzenstäuben z. B.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Runzelblättriger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6D69E4">
              <w:rPr>
                <w:rFonts w:cs="Arial"/>
                <w:sz w:val="22"/>
                <w:szCs w:val="22"/>
              </w:rPr>
              <w:t>Schneeball  -</w:t>
            </w:r>
            <w:proofErr w:type="gramEnd"/>
            <w:r w:rsidRPr="006D69E4">
              <w:rPr>
                <w:rFonts w:cs="Arial"/>
                <w:sz w:val="22"/>
                <w:szCs w:val="22"/>
              </w:rPr>
              <w:t xml:space="preserve"> Viburnum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rhytidophyllum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 oder Platane (Arten der Gattung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Platanus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) kann eine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irritative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 (reizende) Wirkung der Atemwege (Husten) und der Haut (Kontaktdermatitis) ausgehen. Zudem kann von bestimmten Pflanzeninhaltsstoffen z. B. Brennnessel (Arten der Gattung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Urtica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), Christusdorn (Euphorbia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milii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) und Weihnachtsstern (Euphorbia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pulcherrima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) eine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irritative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 (reize</w:t>
            </w:r>
            <w:r w:rsidR="00DC6539" w:rsidRPr="006D69E4">
              <w:rPr>
                <w:rFonts w:cs="Arial"/>
                <w:sz w:val="22"/>
                <w:szCs w:val="22"/>
              </w:rPr>
              <w:t>nde) Wirkung der Haut ausgehen.</w:t>
            </w:r>
          </w:p>
          <w:p w:rsidR="00BF5F66" w:rsidRPr="00DC6539" w:rsidRDefault="00EA3AD0" w:rsidP="00D549D8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0"/>
              </w:rPr>
            </w:pPr>
            <w:r w:rsidRPr="006D69E4">
              <w:rPr>
                <w:rFonts w:cs="Arial"/>
                <w:sz w:val="22"/>
                <w:szCs w:val="22"/>
              </w:rPr>
              <w:t>Pflanzenteile können zu Verletzungen der Augen und der Haut führen.</w:t>
            </w:r>
            <w:r w:rsidR="00D549D8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EA3AD0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EA3AD0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A3AD0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BF5F66">
        <w:trPr>
          <w:trHeight w:val="80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A3AD0" w:rsidRDefault="0072651C" w:rsidP="0002364E">
            <w:pPr>
              <w:rPr>
                <w:rFonts w:cs="Arial"/>
                <w:sz w:val="20"/>
              </w:rPr>
            </w:pPr>
            <w:r w:rsidRPr="00EA3AD0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B702D" w:rsidRDefault="006B702D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C52F4" w:rsidRDefault="000C52F4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C52F4" w:rsidRDefault="000C52F4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C52F4" w:rsidRPr="00C17987" w:rsidRDefault="000C52F4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6B702D" w:rsidRPr="00C17987" w:rsidRDefault="00A93CCB" w:rsidP="006B702D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" name="Bild 1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02D" w:rsidRPr="00C17987" w:rsidRDefault="00A93CCB" w:rsidP="006B702D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02D" w:rsidRPr="00C17987" w:rsidRDefault="00A93CCB" w:rsidP="006B702D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02D" w:rsidRPr="00C17987" w:rsidRDefault="00A93CCB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02D" w:rsidRDefault="00A93CCB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02D" w:rsidRDefault="00A93CCB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EA3AD0" w:rsidRDefault="00A93CCB" w:rsidP="006B702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7" name="Bild 7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A3AD0" w:rsidRDefault="00EA3AD0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6D69E4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BF5F66" w:rsidRPr="006D69E4" w:rsidRDefault="00BF5F66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EA3AD0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BF5F66" w:rsidRPr="006D69E4" w:rsidRDefault="00BF5F66" w:rsidP="00BF5F66">
            <w:pPr>
              <w:tabs>
                <w:tab w:val="num" w:pos="720"/>
              </w:tabs>
              <w:ind w:left="360"/>
              <w:rPr>
                <w:rFonts w:cs="Arial"/>
                <w:sz w:val="22"/>
                <w:szCs w:val="22"/>
              </w:rPr>
            </w:pPr>
          </w:p>
          <w:p w:rsidR="00EA3AD0" w:rsidRDefault="00EA3AD0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6D69E4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BF5F66" w:rsidRPr="006D69E4" w:rsidRDefault="00BF5F66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Arbeitsbereich und verwendete Arbeitsmittel sind sachgerecht zu reinigen.</w:t>
            </w:r>
          </w:p>
          <w:p w:rsidR="00384E24" w:rsidRPr="006D69E4" w:rsidRDefault="00384E24" w:rsidP="00384E2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Hände reinigen.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Nach Verlassen des Arbeitsbereiches ist PSA zum mehrfachen Gebrauch (Korbbrille, Handschutz bei mechanischer Gefährdung, Schuhwerk) abzulegen und sachgerecht zu reinigen.</w:t>
            </w:r>
            <w:r w:rsidR="00BF5F66">
              <w:rPr>
                <w:rFonts w:cs="Arial"/>
                <w:sz w:val="22"/>
                <w:szCs w:val="22"/>
              </w:rPr>
              <w:br/>
            </w:r>
          </w:p>
          <w:p w:rsidR="00EA3AD0" w:rsidRPr="006D69E4" w:rsidRDefault="00EA3AD0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6D69E4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  <w:r w:rsidR="00D549D8">
              <w:rPr>
                <w:rFonts w:cs="Arial"/>
                <w:b/>
                <w:sz w:val="22"/>
                <w:szCs w:val="22"/>
              </w:rPr>
              <w:br/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 xml:space="preserve">Für Personen, die 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irritative</w:t>
            </w:r>
            <w:proofErr w:type="spellEnd"/>
            <w:r w:rsidRPr="006D69E4">
              <w:rPr>
                <w:rFonts w:cs="Arial"/>
                <w:sz w:val="22"/>
                <w:szCs w:val="22"/>
              </w:rPr>
              <w:t xml:space="preserve"> Wirkungen auf bestimmte Pflanzen zeigen, ist die Meidung des Kontaktes mit diesen Pflanzen zu empfehlen.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Unnötiges Bewegen der Pflanzen ist zu vermeiden.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Händischer Kontakt ist durch Verwendung mechanischer Hilfsmittel zu vermeiden.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Arbeiten sind soweit möglich bei hoher Luftfeuchtigkeit durchzuführen.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Nach Möglichkeit sind Schnitt- oder z. B. Häckselmaßnahmen an Platanen während der laubfreien Jahreszeit der Bäume auszuführen.</w:t>
            </w:r>
          </w:p>
          <w:p w:rsidR="00EA3AD0" w:rsidRPr="006D69E4" w:rsidRDefault="00EA3AD0" w:rsidP="00EA3AD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Zum optimalen Erhalt der Schutzbarriere der Haut werden der Einsatz von Hautschutz- und Hautpflegemitteln und zur Hautreinigung schonende Hautreinigungsmittel mit hautneutralem pH-Wert (ca. 5,5) empfohlen.</w:t>
            </w:r>
            <w:r w:rsidR="00D549D8">
              <w:rPr>
                <w:rFonts w:cs="Arial"/>
                <w:sz w:val="22"/>
                <w:szCs w:val="22"/>
              </w:rPr>
              <w:br/>
            </w:r>
            <w:r w:rsidR="00D549D8">
              <w:rPr>
                <w:rFonts w:cs="Arial"/>
                <w:sz w:val="22"/>
                <w:szCs w:val="22"/>
              </w:rPr>
              <w:br/>
            </w:r>
            <w:r w:rsidR="00D549D8">
              <w:rPr>
                <w:rFonts w:cs="Arial"/>
                <w:sz w:val="22"/>
                <w:szCs w:val="22"/>
              </w:rPr>
              <w:br/>
            </w:r>
            <w:r w:rsidR="00D549D8">
              <w:rPr>
                <w:rFonts w:cs="Arial"/>
                <w:sz w:val="22"/>
                <w:szCs w:val="22"/>
              </w:rPr>
              <w:br/>
            </w:r>
            <w:r w:rsidR="00D549D8">
              <w:rPr>
                <w:rFonts w:cs="Arial"/>
                <w:sz w:val="22"/>
                <w:szCs w:val="22"/>
              </w:rPr>
              <w:lastRenderedPageBreak/>
              <w:br/>
            </w:r>
          </w:p>
          <w:p w:rsidR="00EA3AD0" w:rsidRPr="006D69E4" w:rsidRDefault="00EA3AD0" w:rsidP="00EA3AD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6D69E4">
              <w:rPr>
                <w:rFonts w:cs="Arial"/>
                <w:b/>
                <w:sz w:val="22"/>
                <w:szCs w:val="22"/>
              </w:rPr>
              <w:t xml:space="preserve">Empfohlene PSA beim Umgang mit </w:t>
            </w:r>
            <w:proofErr w:type="spellStart"/>
            <w:r w:rsidRPr="006D69E4">
              <w:rPr>
                <w:rFonts w:cs="Arial"/>
                <w:b/>
                <w:sz w:val="22"/>
                <w:szCs w:val="22"/>
              </w:rPr>
              <w:t>Runzelblättrigem</w:t>
            </w:r>
            <w:proofErr w:type="spellEnd"/>
            <w:r w:rsidRPr="006D69E4">
              <w:rPr>
                <w:rFonts w:cs="Arial"/>
                <w:b/>
                <w:sz w:val="22"/>
                <w:szCs w:val="22"/>
              </w:rPr>
              <w:t xml:space="preserve"> Schneeball und Platane:</w:t>
            </w:r>
            <w:r w:rsidR="00D549D8">
              <w:rPr>
                <w:rFonts w:cs="Arial"/>
                <w:b/>
                <w:sz w:val="22"/>
                <w:szCs w:val="22"/>
              </w:rPr>
              <w:br/>
            </w:r>
          </w:p>
          <w:p w:rsidR="00EA3AD0" w:rsidRPr="006D69E4" w:rsidRDefault="00EA3AD0" w:rsidP="00EA3AD0">
            <w:pPr>
              <w:numPr>
                <w:ilvl w:val="0"/>
                <w:numId w:val="12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Korbbrille</w:t>
            </w:r>
          </w:p>
          <w:p w:rsidR="00EA3AD0" w:rsidRPr="006D69E4" w:rsidRDefault="00EA3AD0" w:rsidP="00EA3AD0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partikelfiltrierender Atemschutz (im Handel erhältlich als Feinstaubmaske) FFP2/FFP3 mit Aus</w:t>
            </w:r>
            <w:r w:rsidR="001E2709" w:rsidRPr="006D69E4">
              <w:rPr>
                <w:rFonts w:cs="Arial"/>
                <w:sz w:val="22"/>
                <w:szCs w:val="22"/>
              </w:rPr>
              <w:t>-</w:t>
            </w:r>
            <w:proofErr w:type="spellStart"/>
            <w:r w:rsidRPr="006D69E4">
              <w:rPr>
                <w:rFonts w:cs="Arial"/>
                <w:sz w:val="22"/>
                <w:szCs w:val="22"/>
              </w:rPr>
              <w:t>atemventil</w:t>
            </w:r>
            <w:proofErr w:type="spellEnd"/>
          </w:p>
          <w:p w:rsidR="00EA3AD0" w:rsidRPr="006D69E4" w:rsidRDefault="00EA3AD0" w:rsidP="00EA3AD0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körperbedeckende Arbeitskleidung mit Kopfbedeckung oder Chemikalienschutzanzug, z. B. Einweg-Overall Chemikalienschutz Typ 4B</w:t>
            </w:r>
          </w:p>
          <w:p w:rsidR="00EA3AD0" w:rsidRPr="006D69E4" w:rsidRDefault="00EA3AD0" w:rsidP="00EA3AD0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6D69E4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Pr="006D69E4">
              <w:rPr>
                <w:rFonts w:cs="Arial"/>
                <w:sz w:val="22"/>
                <w:szCs w:val="22"/>
              </w:rPr>
              <w:t xml:space="preserve"> mit ausreichender mechanischer Belastbarkeit</w:t>
            </w:r>
          </w:p>
          <w:p w:rsidR="00EA3AD0" w:rsidRPr="00BF5F66" w:rsidRDefault="00EA3AD0" w:rsidP="00654FAF">
            <w:pPr>
              <w:numPr>
                <w:ilvl w:val="0"/>
                <w:numId w:val="12"/>
              </w:numPr>
              <w:tabs>
                <w:tab w:val="num" w:pos="426"/>
                <w:tab w:val="left" w:pos="567"/>
              </w:tabs>
              <w:autoSpaceDE w:val="0"/>
              <w:autoSpaceDN w:val="0"/>
              <w:adjustRightInd w:val="0"/>
              <w:spacing w:afterLines="20" w:after="48"/>
              <w:ind w:right="230"/>
              <w:jc w:val="both"/>
              <w:rPr>
                <w:rFonts w:cs="Arial"/>
                <w:sz w:val="22"/>
                <w:szCs w:val="22"/>
              </w:rPr>
            </w:pPr>
            <w:r w:rsidRPr="00BF5F66">
              <w:rPr>
                <w:rFonts w:cs="Arial"/>
                <w:sz w:val="22"/>
                <w:szCs w:val="22"/>
              </w:rPr>
              <w:t>geschlossene leicht zu reinigende Schuhe oder Stiefel</w:t>
            </w:r>
          </w:p>
          <w:p w:rsidR="00431362" w:rsidRDefault="00EA3AD0" w:rsidP="00BF5F66">
            <w:p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 xml:space="preserve">Für den Zeitraum des händischen Kontakts mit bestimmten Pflanzen in der Urproduktion wird das Tragen von </w:t>
            </w:r>
            <w:r w:rsidRPr="006D69E4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Einweg-Schutzhandschuhen aus Nitril </w:t>
            </w:r>
            <w:r w:rsidRPr="006D69E4">
              <w:rPr>
                <w:rFonts w:cs="Arial"/>
                <w:sz w:val="22"/>
                <w:szCs w:val="22"/>
              </w:rPr>
              <w:t>mit verlängertem Schaft empfohlen.</w:t>
            </w:r>
          </w:p>
          <w:p w:rsidR="00BF5F66" w:rsidRPr="00EA3AD0" w:rsidRDefault="00BF5F66" w:rsidP="00BF5F66">
            <w:pPr>
              <w:tabs>
                <w:tab w:val="num" w:pos="720"/>
              </w:tabs>
              <w:rPr>
                <w:rFonts w:cs="Arial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A81AF6" w:rsidTr="00380683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FFFF00"/>
            <w:noWrap/>
            <w:vAlign w:val="bottom"/>
            <w:hideMark/>
          </w:tcPr>
          <w:p w:rsidR="00A81AF6" w:rsidRDefault="00DC6539">
            <w:pPr>
              <w:rPr>
                <w:rFonts w:cs="Arial"/>
                <w:sz w:val="20"/>
              </w:rPr>
            </w:pPr>
            <w:r>
              <w:br w:type="page"/>
            </w:r>
            <w:r w:rsidR="00A81AF6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8"/>
            <w:shd w:val="clear" w:color="auto" w:fill="FFFF00"/>
            <w:noWrap/>
            <w:vAlign w:val="center"/>
            <w:hideMark/>
          </w:tcPr>
          <w:p w:rsidR="00A81AF6" w:rsidRDefault="00A81AF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249" w:type="dxa"/>
            <w:gridSpan w:val="2"/>
            <w:shd w:val="clear" w:color="auto" w:fill="C00000"/>
            <w:vAlign w:val="center"/>
            <w:hideMark/>
          </w:tcPr>
          <w:p w:rsidR="00A81AF6" w:rsidRDefault="00A81AF6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:rsidR="00A81AF6" w:rsidRDefault="00A81AF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1362" w:rsidRDefault="00431362" w:rsidP="00431362">
            <w:pPr>
              <w:ind w:left="360"/>
              <w:rPr>
                <w:rFonts w:cs="Arial"/>
                <w:sz w:val="20"/>
              </w:rPr>
            </w:pPr>
          </w:p>
          <w:p w:rsidR="001E2709" w:rsidRPr="006D69E4" w:rsidRDefault="00EA3AD0" w:rsidP="001E2709">
            <w:pPr>
              <w:numPr>
                <w:ilvl w:val="0"/>
                <w:numId w:val="1"/>
              </w:numPr>
              <w:tabs>
                <w:tab w:val="clear" w:pos="720"/>
              </w:tabs>
              <w:ind w:left="214" w:hanging="21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die gefährdende Tätigkeit. </w:t>
            </w:r>
          </w:p>
          <w:p w:rsidR="00EA3AD0" w:rsidRPr="00EA3AD0" w:rsidRDefault="00EA3AD0" w:rsidP="001E2709">
            <w:pPr>
              <w:numPr>
                <w:ilvl w:val="0"/>
                <w:numId w:val="1"/>
              </w:numPr>
              <w:tabs>
                <w:tab w:val="clear" w:pos="720"/>
              </w:tabs>
              <w:ind w:left="214" w:hanging="214"/>
              <w:rPr>
                <w:rFonts w:cs="Arial"/>
                <w:sz w:val="20"/>
              </w:rPr>
            </w:pPr>
            <w:r w:rsidRPr="006D69E4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Pr="00EA3AD0">
              <w:rPr>
                <w:rFonts w:cs="Arial"/>
                <w:sz w:val="20"/>
              </w:rPr>
              <w:t xml:space="preserve"> </w:t>
            </w:r>
            <w:r w:rsidR="00431362">
              <w:rPr>
                <w:rFonts w:cs="Arial"/>
                <w:sz w:val="20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D549D8" w:rsidRPr="00C17987" w:rsidRDefault="00D549D8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50947" w:rsidRPr="00C1798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Erste Hilfe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DB2A08" w:rsidRDefault="00DB2A08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A93CCB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431362" w:rsidRDefault="00431362" w:rsidP="00431362">
            <w:pPr>
              <w:tabs>
                <w:tab w:val="num" w:pos="720"/>
              </w:tabs>
              <w:ind w:left="360"/>
              <w:rPr>
                <w:rFonts w:cs="Arial"/>
                <w:sz w:val="20"/>
              </w:rPr>
            </w:pPr>
          </w:p>
          <w:p w:rsidR="00EA3AD0" w:rsidRPr="006D69E4" w:rsidRDefault="00EA3AD0" w:rsidP="001E27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Verletzungen sind dem Verantwortlichen im Betrieb zu melden, in das Verbandbuch einzutragen und ggf. ist ein Arzt aufzusuchen.</w:t>
            </w:r>
          </w:p>
          <w:p w:rsidR="00EA3AD0" w:rsidRPr="00EA3AD0" w:rsidRDefault="00EA3AD0" w:rsidP="001E270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0"/>
              </w:rPr>
            </w:pPr>
            <w:r w:rsidRPr="006D69E4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431362">
              <w:rPr>
                <w:rFonts w:cs="Arial"/>
                <w:sz w:val="20"/>
              </w:rPr>
              <w:br/>
            </w:r>
          </w:p>
          <w:p w:rsidR="00085AA9" w:rsidRDefault="00A81AF6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D549D8" w:rsidRPr="00B32A0E" w:rsidRDefault="00D549D8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380683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1362" w:rsidRDefault="00431362" w:rsidP="00EA3AD0">
            <w:pPr>
              <w:rPr>
                <w:rFonts w:cs="Arial"/>
                <w:sz w:val="20"/>
              </w:rPr>
            </w:pPr>
          </w:p>
          <w:p w:rsidR="0072651C" w:rsidRPr="006D69E4" w:rsidRDefault="00EA3AD0" w:rsidP="006D69E4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6D69E4">
              <w:rPr>
                <w:rFonts w:cs="Arial"/>
                <w:sz w:val="22"/>
                <w:szCs w:val="22"/>
              </w:rPr>
              <w:t>PSA zum einmaligen Gebrauch (Feinstaubmaske, Einweg-Schutzhandschuhe) ist in dicht schließenden Behältern zu entsorgen.</w:t>
            </w:r>
          </w:p>
          <w:p w:rsidR="00431362" w:rsidRPr="00EA3AD0" w:rsidRDefault="00431362" w:rsidP="00EA3AD0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380683" w:rsidRPr="00C17987" w:rsidTr="00380683">
        <w:trPr>
          <w:trHeight w:hRule="exact"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380683" w:rsidRPr="00C17987" w:rsidTr="0038068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380683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683" w:rsidRPr="0001190C" w:rsidRDefault="00380683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380683" w:rsidRDefault="00380683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683" w:rsidRPr="00EC70E1" w:rsidRDefault="00380683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380683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80683" w:rsidRPr="00AD73C9" w:rsidRDefault="00380683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380683" w:rsidRPr="00F93C07" w:rsidRDefault="00380683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380683" w:rsidRPr="00C17987" w:rsidTr="00380683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380683" w:rsidRPr="00C17987" w:rsidRDefault="00380683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49794A" w:rsidRPr="00000D9F" w:rsidRDefault="0049794A" w:rsidP="0002364E">
      <w:pPr>
        <w:rPr>
          <w:sz w:val="20"/>
        </w:rPr>
      </w:pPr>
    </w:p>
    <w:p w:rsidR="00C17987" w:rsidRPr="0020252B" w:rsidRDefault="0020252B" w:rsidP="0020252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 w:rsidRPr="0020252B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4412B1">
        <w:rPr>
          <w:rFonts w:cs="Arial"/>
          <w:sz w:val="12"/>
          <w:szCs w:val="12"/>
        </w:rPr>
        <w:t>08</w:t>
      </w:r>
      <w:r w:rsidRPr="0020252B">
        <w:rPr>
          <w:rFonts w:cs="Arial"/>
          <w:sz w:val="12"/>
          <w:szCs w:val="12"/>
        </w:rPr>
        <w:t>/2023</w:t>
      </w:r>
    </w:p>
    <w:sectPr w:rsidR="00C17987" w:rsidRPr="0020252B" w:rsidSect="00D77095">
      <w:footerReference w:type="even" r:id="rId15"/>
      <w:footerReference w:type="default" r:id="rId16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65" w:rsidRDefault="00E45565">
      <w:r>
        <w:separator/>
      </w:r>
    </w:p>
  </w:endnote>
  <w:endnote w:type="continuationSeparator" w:id="0">
    <w:p w:rsidR="00E45565" w:rsidRDefault="00E4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CC" w:rsidRDefault="008A6ACC" w:rsidP="00060BA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A6ACC" w:rsidRDefault="008A6ACC" w:rsidP="00F51F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CC" w:rsidRPr="00F51F72" w:rsidRDefault="008A6ACC" w:rsidP="00F51F72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65" w:rsidRDefault="00E45565">
      <w:r>
        <w:separator/>
      </w:r>
    </w:p>
  </w:footnote>
  <w:footnote w:type="continuationSeparator" w:id="0">
    <w:p w:rsidR="00E45565" w:rsidRDefault="00E4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218D9"/>
    <w:multiLevelType w:val="hybridMultilevel"/>
    <w:tmpl w:val="93B8A8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41032"/>
    <w:rsid w:val="00050947"/>
    <w:rsid w:val="00060BA1"/>
    <w:rsid w:val="00067A91"/>
    <w:rsid w:val="00085AA9"/>
    <w:rsid w:val="000A6031"/>
    <w:rsid w:val="000B1164"/>
    <w:rsid w:val="000C52F4"/>
    <w:rsid w:val="000D47C5"/>
    <w:rsid w:val="0014741C"/>
    <w:rsid w:val="001D1990"/>
    <w:rsid w:val="001E2709"/>
    <w:rsid w:val="0020252B"/>
    <w:rsid w:val="00213F21"/>
    <w:rsid w:val="002770AC"/>
    <w:rsid w:val="00285F7C"/>
    <w:rsid w:val="003071EA"/>
    <w:rsid w:val="003140B3"/>
    <w:rsid w:val="00380683"/>
    <w:rsid w:val="0038264D"/>
    <w:rsid w:val="00384857"/>
    <w:rsid w:val="00384E24"/>
    <w:rsid w:val="003875DD"/>
    <w:rsid w:val="003E55DB"/>
    <w:rsid w:val="004003D3"/>
    <w:rsid w:val="00410BAB"/>
    <w:rsid w:val="00412DAE"/>
    <w:rsid w:val="00425BF8"/>
    <w:rsid w:val="00431362"/>
    <w:rsid w:val="004407FF"/>
    <w:rsid w:val="004412B1"/>
    <w:rsid w:val="0045241F"/>
    <w:rsid w:val="00461394"/>
    <w:rsid w:val="00475143"/>
    <w:rsid w:val="00480345"/>
    <w:rsid w:val="0049794A"/>
    <w:rsid w:val="0050295F"/>
    <w:rsid w:val="00580FDA"/>
    <w:rsid w:val="005D42F2"/>
    <w:rsid w:val="005E63D2"/>
    <w:rsid w:val="00614E1A"/>
    <w:rsid w:val="00617F61"/>
    <w:rsid w:val="00632531"/>
    <w:rsid w:val="0064376A"/>
    <w:rsid w:val="0064588E"/>
    <w:rsid w:val="006A1BFC"/>
    <w:rsid w:val="006A1F4F"/>
    <w:rsid w:val="006B702D"/>
    <w:rsid w:val="006C10CC"/>
    <w:rsid w:val="006D69E4"/>
    <w:rsid w:val="00716E93"/>
    <w:rsid w:val="0072651C"/>
    <w:rsid w:val="00776827"/>
    <w:rsid w:val="007A663C"/>
    <w:rsid w:val="007B29F8"/>
    <w:rsid w:val="0080430E"/>
    <w:rsid w:val="0082731B"/>
    <w:rsid w:val="00870A59"/>
    <w:rsid w:val="008A6ACC"/>
    <w:rsid w:val="008E2BB3"/>
    <w:rsid w:val="0092403E"/>
    <w:rsid w:val="009A5B2D"/>
    <w:rsid w:val="009A78D1"/>
    <w:rsid w:val="009B674F"/>
    <w:rsid w:val="009B7930"/>
    <w:rsid w:val="009C4638"/>
    <w:rsid w:val="00A22881"/>
    <w:rsid w:val="00A374D5"/>
    <w:rsid w:val="00A81AF6"/>
    <w:rsid w:val="00A93AA3"/>
    <w:rsid w:val="00A93CCB"/>
    <w:rsid w:val="00AA736C"/>
    <w:rsid w:val="00AB073A"/>
    <w:rsid w:val="00AE6068"/>
    <w:rsid w:val="00B23EA7"/>
    <w:rsid w:val="00B32A0E"/>
    <w:rsid w:val="00BA0811"/>
    <w:rsid w:val="00BF1D7F"/>
    <w:rsid w:val="00BF4EA3"/>
    <w:rsid w:val="00BF5F66"/>
    <w:rsid w:val="00C17987"/>
    <w:rsid w:val="00C17A88"/>
    <w:rsid w:val="00C3168B"/>
    <w:rsid w:val="00C31BDD"/>
    <w:rsid w:val="00C33065"/>
    <w:rsid w:val="00C33E82"/>
    <w:rsid w:val="00C70C23"/>
    <w:rsid w:val="00CA5E3B"/>
    <w:rsid w:val="00CD3F08"/>
    <w:rsid w:val="00CE4E26"/>
    <w:rsid w:val="00D00D3F"/>
    <w:rsid w:val="00D11F7B"/>
    <w:rsid w:val="00D549D8"/>
    <w:rsid w:val="00D77095"/>
    <w:rsid w:val="00DA352F"/>
    <w:rsid w:val="00DB2A08"/>
    <w:rsid w:val="00DB4519"/>
    <w:rsid w:val="00DC6539"/>
    <w:rsid w:val="00DF7B60"/>
    <w:rsid w:val="00E11C08"/>
    <w:rsid w:val="00E45565"/>
    <w:rsid w:val="00E845BE"/>
    <w:rsid w:val="00E8701F"/>
    <w:rsid w:val="00EA3AD0"/>
    <w:rsid w:val="00EA4687"/>
    <w:rsid w:val="00F51F72"/>
    <w:rsid w:val="00F5286E"/>
    <w:rsid w:val="00F578ED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56E06-CE5C-424B-B6C6-116FF362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51F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1F7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5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Pflanzenbestandteile irritative Wirkung</vt:lpstr>
    </vt:vector>
  </TitlesOfParts>
  <Company>SVLFG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Pflanzenbestandteile irritative Wirkung</dc:title>
  <dc:subject/>
  <dc:creator>svlfg</dc:creator>
  <cp:keywords/>
  <dc:description/>
  <cp:lastModifiedBy>svlfg</cp:lastModifiedBy>
  <cp:revision>2</cp:revision>
  <cp:lastPrinted>2012-08-15T09:54:00Z</cp:lastPrinted>
  <dcterms:created xsi:type="dcterms:W3CDTF">2024-08-02T05:45:00Z</dcterms:created>
  <dcterms:modified xsi:type="dcterms:W3CDTF">2024-08-02T05:45:00Z</dcterms:modified>
</cp:coreProperties>
</file>