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2"/>
        <w:gridCol w:w="1222"/>
        <w:gridCol w:w="1523"/>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F303F9" w:rsidRPr="00F303F9" w:rsidRDefault="00F303F9" w:rsidP="00FA3329">
            <w:pPr>
              <w:keepNext/>
              <w:overflowPunct w:val="0"/>
              <w:autoSpaceDE w:val="0"/>
              <w:autoSpaceDN w:val="0"/>
              <w:adjustRightInd w:val="0"/>
              <w:textAlignment w:val="baseline"/>
              <w:outlineLvl w:val="4"/>
              <w:rPr>
                <w:rFonts w:ascii="Arial" w:eastAsia="Times New Roman" w:hAnsi="Arial" w:cs="Times New Roman"/>
                <w:b/>
                <w:snapToGrid w:val="0"/>
                <w:sz w:val="24"/>
                <w:szCs w:val="24"/>
                <w:lang w:eastAsia="de-DE"/>
              </w:rPr>
            </w:pPr>
            <w:r w:rsidRPr="00F303F9">
              <w:rPr>
                <w:rFonts w:ascii="Arial" w:eastAsia="Times New Roman" w:hAnsi="Arial" w:cs="Times New Roman"/>
                <w:b/>
                <w:snapToGrid w:val="0"/>
                <w:sz w:val="24"/>
                <w:szCs w:val="24"/>
                <w:lang w:eastAsia="de-DE"/>
              </w:rPr>
              <w:t>Flüssiggas</w:t>
            </w:r>
          </w:p>
          <w:p w:rsidR="00D11AAF" w:rsidRPr="00E75047" w:rsidRDefault="00F303F9" w:rsidP="00FA3329">
            <w:pPr>
              <w:rPr>
                <w:rFonts w:ascii="Arial" w:hAnsi="Arial" w:cs="Arial"/>
                <w:b/>
                <w:sz w:val="24"/>
                <w:szCs w:val="24"/>
              </w:rPr>
            </w:pPr>
            <w:r w:rsidRPr="00FA3329">
              <w:rPr>
                <w:rFonts w:ascii="Arial" w:eastAsia="Times New Roman" w:hAnsi="Arial" w:cs="Times New Roman"/>
                <w:b/>
                <w:bCs/>
                <w:sz w:val="24"/>
                <w:szCs w:val="24"/>
                <w:lang w:eastAsia="de-DE"/>
              </w:rPr>
              <w:t>(Propan-Butan-Gemische)</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FA3329" w:rsidRDefault="00F303F9" w:rsidP="00D11AAF">
            <w:pPr>
              <w:rPr>
                <w:rFonts w:ascii="Arial" w:hAnsi="Arial" w:cs="Arial"/>
              </w:rPr>
            </w:pPr>
            <w:r w:rsidRPr="00FA3329">
              <w:rPr>
                <w:rFonts w:ascii="Arial" w:hAnsi="Arial" w:cs="Arial"/>
                <w:bCs/>
                <w:szCs w:val="24"/>
              </w:rPr>
              <w:t>Verwenden von Flüssiggas</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FA3329" w:rsidRDefault="00FA3329" w:rsidP="00FA3329">
            <w:pPr>
              <w:ind w:left="360"/>
              <w:rPr>
                <w:rFonts w:ascii="Arial" w:hAnsi="Arial" w:cs="Arial"/>
                <w:snapToGrid w:val="0"/>
              </w:rPr>
            </w:pP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Gas-Luft-Gemische sind explosionsfähig!</w:t>
            </w:r>
          </w:p>
          <w:p w:rsidR="00B01842" w:rsidRPr="00FA3329" w:rsidRDefault="00F303F9" w:rsidP="0005551A">
            <w:pPr>
              <w:numPr>
                <w:ilvl w:val="0"/>
                <w:numId w:val="1"/>
              </w:numPr>
              <w:ind w:left="360"/>
              <w:rPr>
                <w:rFonts w:ascii="Arial" w:hAnsi="Arial" w:cs="Arial"/>
              </w:rPr>
            </w:pPr>
            <w:r w:rsidRPr="00FA3329">
              <w:rPr>
                <w:rFonts w:ascii="Arial" w:hAnsi="Arial" w:cs="Arial"/>
                <w:snapToGrid w:val="0"/>
              </w:rPr>
              <w:t>Sehr schnelle Verdampfung der Flüssigkeit kann sowohl zu einer Verdrängung der Atemluft und damit zu Bewusstlosigkeit und Tod durch Ersticken führen, andererseits aber auch bei Hautkontakt durch die hohe Verdunstungskälte Erfrierungen von Haut und Augen hervorrufen.</w:t>
            </w:r>
            <w:r w:rsidR="00FA3329">
              <w:rPr>
                <w:rFonts w:ascii="Arial" w:hAnsi="Arial" w:cs="Arial"/>
                <w:snapToGrid w:val="0"/>
              </w:rPr>
              <w:br/>
            </w:r>
          </w:p>
        </w:tc>
        <w:tc>
          <w:tcPr>
            <w:tcW w:w="934" w:type="dxa"/>
            <w:vMerge w:val="restart"/>
            <w:tcBorders>
              <w:top w:val="nil"/>
              <w:left w:val="single" w:sz="12" w:space="0" w:color="FF9900"/>
              <w:bottom w:val="nil"/>
              <w:right w:val="single" w:sz="36" w:space="0" w:color="FF9900"/>
            </w:tcBorders>
          </w:tcPr>
          <w:p w:rsidR="00FA3329" w:rsidRDefault="00FA3329" w:rsidP="00D11AAF">
            <w:pPr>
              <w:rPr>
                <w:noProof/>
                <w:lang w:eastAsia="de-DE"/>
              </w:rPr>
            </w:pPr>
          </w:p>
          <w:p w:rsidR="00B01842" w:rsidRDefault="008B1D5E" w:rsidP="00D11AAF">
            <w:pPr>
              <w:rPr>
                <w:rFonts w:ascii="Arial" w:hAnsi="Arial" w:cs="Arial"/>
              </w:rPr>
            </w:pPr>
            <w:r>
              <w:rPr>
                <w:noProof/>
                <w:sz w:val="20"/>
                <w:lang w:eastAsia="de-DE"/>
              </w:rPr>
              <w:drawing>
                <wp:inline distT="0" distB="0" distL="0" distR="0" wp14:anchorId="0C62882E" wp14:editId="3B0EF386">
                  <wp:extent cx="504000" cy="50400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B1D5E" w:rsidRPr="008B1D5E" w:rsidRDefault="008B1D5E" w:rsidP="008B1D5E">
            <w:pPr>
              <w:jc w:val="center"/>
              <w:rPr>
                <w:rFonts w:ascii="Arial" w:hAnsi="Arial" w:cs="Arial"/>
                <w:b/>
                <w:sz w:val="16"/>
                <w:szCs w:val="16"/>
              </w:rPr>
            </w:pPr>
            <w:r w:rsidRPr="008B1D5E">
              <w:rPr>
                <w:rFonts w:ascii="Arial" w:hAnsi="Arial" w:cs="Arial"/>
                <w:b/>
                <w:sz w:val="16"/>
                <w:szCs w:val="16"/>
              </w:rPr>
              <w:t>Gefahr</w:t>
            </w:r>
          </w:p>
          <w:p w:rsidR="00F303F9" w:rsidRDefault="008B1D5E" w:rsidP="00D11AAF">
            <w:pPr>
              <w:rPr>
                <w:rFonts w:ascii="Arial" w:hAnsi="Arial" w:cs="Arial"/>
              </w:rPr>
            </w:pPr>
            <w:r>
              <w:rPr>
                <w:noProof/>
                <w:lang w:eastAsia="de-DE"/>
              </w:rPr>
              <w:drawing>
                <wp:inline distT="0" distB="0" distL="0" distR="0" wp14:anchorId="1E789887" wp14:editId="13803668">
                  <wp:extent cx="504000" cy="504000"/>
                  <wp:effectExtent l="0" t="0" r="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A3329" w:rsidRDefault="00FA3329" w:rsidP="00D11AAF">
            <w:pPr>
              <w:rPr>
                <w:noProof/>
                <w:lang w:eastAsia="de-DE"/>
              </w:rPr>
            </w:pPr>
          </w:p>
          <w:p w:rsidR="00FA3329" w:rsidRDefault="00FA3329" w:rsidP="00D11AAF">
            <w:pPr>
              <w:rPr>
                <w:noProof/>
                <w:lang w:eastAsia="de-DE"/>
              </w:rPr>
            </w:pPr>
          </w:p>
          <w:p w:rsidR="00F303F9" w:rsidRDefault="00F303F9" w:rsidP="00D11AAF">
            <w:pPr>
              <w:rPr>
                <w:rFonts w:ascii="Arial" w:hAnsi="Arial" w:cs="Arial"/>
              </w:rPr>
            </w:pPr>
            <w:r>
              <w:rPr>
                <w:noProof/>
                <w:lang w:eastAsia="de-DE"/>
              </w:rPr>
              <w:drawing>
                <wp:inline distT="0" distB="0" distL="0" distR="0" wp14:anchorId="5601F1B7" wp14:editId="04481336">
                  <wp:extent cx="504000" cy="504000"/>
                  <wp:effectExtent l="0" t="0" r="0" b="0"/>
                  <wp:docPr id="5" name="Bild 3"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9: Hand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303F9" w:rsidRDefault="00F303F9" w:rsidP="00D11AAF">
            <w:pPr>
              <w:rPr>
                <w:rFonts w:ascii="Arial" w:hAnsi="Arial" w:cs="Arial"/>
              </w:rPr>
            </w:pPr>
            <w:r>
              <w:rPr>
                <w:noProof/>
                <w:lang w:eastAsia="de-DE"/>
              </w:rPr>
              <w:drawing>
                <wp:inline distT="0" distB="0" distL="0" distR="0" wp14:anchorId="71F90CDD" wp14:editId="6E157AEB">
                  <wp:extent cx="504000" cy="504000"/>
                  <wp:effectExtent l="0" t="0" r="0" b="0"/>
                  <wp:docPr id="6" name="Bild 4"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22: Essen und Trinken verbo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303F9" w:rsidRDefault="00F303F9" w:rsidP="00D11AAF">
            <w:pPr>
              <w:rPr>
                <w:rFonts w:ascii="Arial" w:hAnsi="Arial" w:cs="Arial"/>
              </w:rPr>
            </w:pPr>
            <w:r>
              <w:rPr>
                <w:noProof/>
                <w:lang w:eastAsia="de-DE"/>
              </w:rPr>
              <w:drawing>
                <wp:inline distT="0" distB="0" distL="0" distR="0" wp14:anchorId="199C28A8" wp14:editId="2405FECA">
                  <wp:extent cx="504000" cy="504000"/>
                  <wp:effectExtent l="0" t="0" r="0" b="0"/>
                  <wp:docPr id="7" name="Bild 5" descr="P003: 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03: Keine offene Flamme; Feuer, offene Zündquelle und Rauch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F303F9" w:rsidRPr="00D11AAF" w:rsidRDefault="00F303F9" w:rsidP="00D11AAF">
            <w:pPr>
              <w:rPr>
                <w:rFonts w:ascii="Arial" w:hAnsi="Arial" w:cs="Arial"/>
              </w:rPr>
            </w:pPr>
            <w:r>
              <w:rPr>
                <w:noProof/>
                <w:lang w:eastAsia="de-DE"/>
              </w:rPr>
              <w:drawing>
                <wp:inline distT="0" distB="0" distL="0" distR="0" wp14:anchorId="21760FC5" wp14:editId="41826304">
                  <wp:extent cx="504000" cy="504000"/>
                  <wp:effectExtent l="0" t="0" r="0" b="0"/>
                  <wp:docPr id="8" name="Bild 6"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FA3329" w:rsidRDefault="00B01842" w:rsidP="00B01842">
            <w:pPr>
              <w:tabs>
                <w:tab w:val="left" w:pos="3377"/>
              </w:tabs>
              <w:rPr>
                <w:rFonts w:ascii="Arial" w:hAnsi="Arial" w:cs="Arial"/>
                <w:b/>
                <w:color w:val="FFFFFF" w:themeColor="background1"/>
              </w:rPr>
            </w:pPr>
            <w:r w:rsidRPr="00FA3329">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FA3329" w:rsidRDefault="00FA3329" w:rsidP="00FA3329">
            <w:pPr>
              <w:ind w:left="360"/>
              <w:rPr>
                <w:rFonts w:ascii="Arial" w:hAnsi="Arial" w:cs="Arial"/>
                <w:snapToGrid w:val="0"/>
              </w:rPr>
            </w:pP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 xml:space="preserve">Berührung mit Augen, Haut und Kleidung vermeiden! </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Von direkter Sonneneinstrahlung/ Zündquellen fernhalten.</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Aufrecht lagern an kühlen Orten &lt;50° C. Für Belüftung in Bodennähe sorgen.</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 xml:space="preserve">Gas schwerer als Luft! </w:t>
            </w:r>
            <w:r w:rsidRPr="00FA3329">
              <w:rPr>
                <w:rFonts w:ascii="Arial" w:hAnsi="Arial" w:cs="Arial"/>
                <w:snapToGrid w:val="0"/>
              </w:rPr>
              <w:sym w:font="Wingdings" w:char="F0E0"/>
            </w:r>
            <w:r w:rsidRPr="00FA3329">
              <w:rPr>
                <w:rFonts w:ascii="Arial" w:hAnsi="Arial" w:cs="Arial"/>
                <w:snapToGrid w:val="0"/>
              </w:rPr>
              <w:t xml:space="preserve"> Lagern nicht in der Nähe von Abflüssen/ Vertiefungen.</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Vor Anschluss von Verbrauchsgeräten und bei Flaschenwechsel Armaturen auf Dichtheit (z.</w:t>
            </w:r>
            <w:r w:rsidR="0005551A">
              <w:rPr>
                <w:rFonts w:ascii="Arial" w:hAnsi="Arial" w:cs="Arial"/>
                <w:snapToGrid w:val="0"/>
              </w:rPr>
              <w:t xml:space="preserve"> </w:t>
            </w:r>
            <w:r w:rsidRPr="00FA3329">
              <w:rPr>
                <w:rFonts w:ascii="Arial" w:hAnsi="Arial" w:cs="Arial"/>
                <w:snapToGrid w:val="0"/>
              </w:rPr>
              <w:t xml:space="preserve">B. </w:t>
            </w:r>
            <w:proofErr w:type="spellStart"/>
            <w:r w:rsidRPr="00FA3329">
              <w:rPr>
                <w:rFonts w:ascii="Arial" w:hAnsi="Arial" w:cs="Arial"/>
                <w:snapToGrid w:val="0"/>
              </w:rPr>
              <w:t>Leckagespray</w:t>
            </w:r>
            <w:proofErr w:type="spellEnd"/>
            <w:r w:rsidRPr="00FA3329">
              <w:rPr>
                <w:rFonts w:ascii="Arial" w:hAnsi="Arial" w:cs="Arial"/>
                <w:snapToGrid w:val="0"/>
              </w:rPr>
              <w:t>) prüfen.</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 xml:space="preserve">Bei Gasgeruch/ </w:t>
            </w:r>
            <w:proofErr w:type="spellStart"/>
            <w:r w:rsidRPr="00FA3329">
              <w:rPr>
                <w:rFonts w:ascii="Arial" w:hAnsi="Arial" w:cs="Arial"/>
                <w:snapToGrid w:val="0"/>
              </w:rPr>
              <w:t>Ausströmgeräuschen</w:t>
            </w:r>
            <w:proofErr w:type="spellEnd"/>
            <w:r w:rsidRPr="00FA3329">
              <w:rPr>
                <w:rFonts w:ascii="Arial" w:hAnsi="Arial" w:cs="Arial"/>
                <w:snapToGrid w:val="0"/>
              </w:rPr>
              <w:t xml:space="preserve"> sofort Absperrventile schließen.</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Volle und leere Flaschen nur mit geschlossenem und dichtem Ventil sowie geeigneter Ventilschutzkappe transportieren. Flaschen aufrecht stellen, nicht in Verkehrswegen lagern und stets gegen Verrutschen oder Umfallen sichern.</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Verbote der Zusammenlagerung (z. B. mit entzündbaren Flüssigkeiten) beachten.</w:t>
            </w:r>
          </w:p>
          <w:p w:rsidR="00F303F9" w:rsidRPr="00FA3329" w:rsidRDefault="00F303F9" w:rsidP="00F303F9">
            <w:pPr>
              <w:rPr>
                <w:rFonts w:ascii="Arial" w:hAnsi="Arial" w:cs="Arial"/>
                <w:snapToGrid w:val="0"/>
              </w:rPr>
            </w:pPr>
          </w:p>
          <w:p w:rsidR="007C7713" w:rsidRPr="00FA3329" w:rsidRDefault="00F303F9" w:rsidP="0005551A">
            <w:pPr>
              <w:numPr>
                <w:ilvl w:val="0"/>
                <w:numId w:val="1"/>
              </w:numPr>
              <w:ind w:left="360"/>
              <w:rPr>
                <w:rFonts w:ascii="Arial" w:hAnsi="Arial" w:cs="Arial"/>
              </w:rPr>
            </w:pPr>
            <w:r w:rsidRPr="00FA3329">
              <w:rPr>
                <w:rFonts w:ascii="Arial" w:hAnsi="Arial" w:cs="Arial"/>
                <w:b/>
                <w:snapToGrid w:val="0"/>
              </w:rPr>
              <w:t>Handschutz:</w:t>
            </w:r>
            <w:r w:rsidRPr="00FA3329">
              <w:rPr>
                <w:rFonts w:ascii="Arial" w:hAnsi="Arial" w:cs="Arial"/>
                <w:snapToGrid w:val="0"/>
              </w:rPr>
              <w:t xml:space="preserve"> Hitzebeständige, antistatische und für mechanische Belastungen geeignete Schutzhandschuhe verwenden.</w:t>
            </w:r>
            <w:r w:rsidR="00FA3329">
              <w:rPr>
                <w:rFonts w:ascii="Arial" w:hAnsi="Arial" w:cs="Arial"/>
                <w:snapToGrid w:val="0"/>
              </w:rPr>
              <w:br/>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FA3329" w:rsidRDefault="00063111" w:rsidP="00E65D57">
            <w:pPr>
              <w:jc w:val="center"/>
              <w:rPr>
                <w:rFonts w:ascii="Arial" w:hAnsi="Arial" w:cs="Arial"/>
                <w:b/>
                <w:color w:val="FFFFFF" w:themeColor="background1"/>
              </w:rPr>
            </w:pPr>
            <w:r w:rsidRPr="00FA3329">
              <w:rPr>
                <w:rFonts w:ascii="Arial" w:hAnsi="Arial" w:cs="Arial"/>
                <w:b/>
                <w:color w:val="FFFFFF" w:themeColor="background1"/>
              </w:rPr>
              <w:t xml:space="preserve">Verhalten </w:t>
            </w:r>
            <w:r w:rsidR="00E65D57" w:rsidRPr="00FA3329">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FA3329" w:rsidRDefault="00FA3329" w:rsidP="00FA3329">
            <w:pPr>
              <w:ind w:left="360"/>
              <w:rPr>
                <w:rFonts w:ascii="Arial" w:hAnsi="Arial" w:cs="Arial"/>
                <w:snapToGrid w:val="0"/>
              </w:rPr>
            </w:pP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Wenn möglich, Flammen erst löschen, nachdem das Ventil geschlossen wurde.</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 xml:space="preserve">Geeignete Löschmittel </w:t>
            </w:r>
            <w:r w:rsidRPr="00FA3329">
              <w:rPr>
                <w:rFonts w:ascii="Arial" w:hAnsi="Arial" w:cs="Arial"/>
              </w:rPr>
              <w:t>bei Gasbrand: ABC-Pulverlöscher</w:t>
            </w:r>
          </w:p>
          <w:p w:rsidR="00F303F9" w:rsidRPr="00FA3329" w:rsidRDefault="00F303F9" w:rsidP="0005551A">
            <w:pPr>
              <w:numPr>
                <w:ilvl w:val="0"/>
                <w:numId w:val="1"/>
              </w:numPr>
              <w:ind w:left="360"/>
              <w:rPr>
                <w:rFonts w:ascii="Arial" w:hAnsi="Arial" w:cs="Arial"/>
                <w:snapToGrid w:val="0"/>
              </w:rPr>
            </w:pPr>
            <w:r w:rsidRPr="00FA3329">
              <w:rPr>
                <w:rFonts w:ascii="Arial" w:hAnsi="Arial" w:cs="Arial"/>
                <w:snapToGrid w:val="0"/>
              </w:rPr>
              <w:t>Bei Umgebungsbränden: Mit Sprühwasser/ CO</w:t>
            </w:r>
            <w:r w:rsidRPr="00FA3329">
              <w:rPr>
                <w:rFonts w:ascii="Arial" w:hAnsi="Arial" w:cs="Arial"/>
                <w:snapToGrid w:val="0"/>
                <w:vertAlign w:val="subscript"/>
              </w:rPr>
              <w:t>2</w:t>
            </w:r>
            <w:r w:rsidRPr="00FA3329">
              <w:rPr>
                <w:rFonts w:ascii="Arial" w:hAnsi="Arial" w:cs="Arial"/>
                <w:snapToGrid w:val="0"/>
              </w:rPr>
              <w:t xml:space="preserve"> aus sicherer Entfernung kühlen. </w:t>
            </w:r>
          </w:p>
          <w:p w:rsidR="007C7713" w:rsidRPr="00FA3329" w:rsidRDefault="00F303F9" w:rsidP="0005551A">
            <w:pPr>
              <w:pStyle w:val="Listenabsatz"/>
              <w:numPr>
                <w:ilvl w:val="0"/>
                <w:numId w:val="1"/>
              </w:numPr>
              <w:ind w:left="360"/>
              <w:rPr>
                <w:rFonts w:ascii="Arial" w:hAnsi="Arial" w:cs="Arial"/>
              </w:rPr>
            </w:pPr>
            <w:r w:rsidRPr="00FA3329">
              <w:rPr>
                <w:rFonts w:ascii="Arial" w:hAnsi="Arial" w:cs="Arial"/>
                <w:snapToGrid w:val="0"/>
              </w:rPr>
              <w:t>Alarm-, Flucht- und Rettungspläne beachten.</w:t>
            </w:r>
            <w:r w:rsidR="00FA3329">
              <w:rPr>
                <w:rFonts w:ascii="Arial" w:hAnsi="Arial" w:cs="Arial"/>
                <w:snapToGrid w:val="0"/>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FA3329" w:rsidRDefault="00B01842" w:rsidP="00E65D57">
            <w:pPr>
              <w:tabs>
                <w:tab w:val="left" w:pos="3289"/>
              </w:tabs>
              <w:jc w:val="center"/>
              <w:rPr>
                <w:rFonts w:ascii="Arial" w:hAnsi="Arial" w:cs="Arial"/>
                <w:b/>
                <w:color w:val="FFFFFF" w:themeColor="background1"/>
              </w:rPr>
            </w:pPr>
            <w:r w:rsidRPr="00FA3329">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FA3329" w:rsidRDefault="00B01842" w:rsidP="00B01842">
            <w:pPr>
              <w:jc w:val="center"/>
              <w:rPr>
                <w:rFonts w:ascii="Arial" w:hAnsi="Arial" w:cs="Arial"/>
                <w:b/>
                <w:color w:val="FFFFFF" w:themeColor="background1"/>
              </w:rPr>
            </w:pPr>
            <w:r w:rsidRPr="00FA3329">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FA3329" w:rsidRDefault="00B01842" w:rsidP="00B01842">
            <w:pPr>
              <w:tabs>
                <w:tab w:val="left" w:pos="567"/>
                <w:tab w:val="left" w:pos="5103"/>
                <w:tab w:val="left" w:pos="5670"/>
              </w:tabs>
              <w:rPr>
                <w:rFonts w:ascii="Arial" w:hAnsi="Arial" w:cs="Arial"/>
              </w:rPr>
            </w:pPr>
            <w:r w:rsidRPr="00FA3329">
              <w:rPr>
                <w:rFonts w:ascii="Arial" w:hAnsi="Arial" w:cs="Arial"/>
              </w:rPr>
              <w:t>Standort Telefon:</w:t>
            </w:r>
          </w:p>
          <w:p w:rsidR="00B01842" w:rsidRPr="00FA3329" w:rsidRDefault="00B01842" w:rsidP="00B01842">
            <w:pPr>
              <w:tabs>
                <w:tab w:val="left" w:pos="567"/>
                <w:tab w:val="left" w:pos="5103"/>
                <w:tab w:val="left" w:pos="5670"/>
              </w:tabs>
              <w:rPr>
                <w:rFonts w:ascii="Arial" w:hAnsi="Arial" w:cs="Arial"/>
              </w:rPr>
            </w:pPr>
            <w:r w:rsidRPr="00FA3329">
              <w:rPr>
                <w:rFonts w:ascii="Arial" w:hAnsi="Arial" w:cs="Arial"/>
              </w:rPr>
              <w:fldChar w:fldCharType="begin">
                <w:ffData>
                  <w:name w:val="Textbox1"/>
                  <w:enabled/>
                  <w:calcOnExit w:val="0"/>
                  <w:textInput/>
                </w:ffData>
              </w:fldChar>
            </w:r>
            <w:r w:rsidRPr="00FA3329">
              <w:rPr>
                <w:rFonts w:ascii="Arial" w:hAnsi="Arial" w:cs="Arial"/>
              </w:rPr>
              <w:instrText xml:space="preserve"> FORMTEXT </w:instrText>
            </w:r>
            <w:r w:rsidRPr="00FA3329">
              <w:rPr>
                <w:rFonts w:ascii="Arial" w:hAnsi="Arial" w:cs="Arial"/>
              </w:rPr>
            </w:r>
            <w:r w:rsidRPr="00FA3329">
              <w:rPr>
                <w:rFonts w:ascii="Arial" w:hAnsi="Arial" w:cs="Arial"/>
              </w:rPr>
              <w:fldChar w:fldCharType="separate"/>
            </w:r>
            <w:r w:rsidRPr="00FA3329">
              <w:rPr>
                <w:rFonts w:ascii="Arial" w:hAnsi="Arial" w:cs="Arial"/>
              </w:rPr>
              <w:t>     </w:t>
            </w:r>
            <w:r w:rsidRPr="00FA3329">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FA3329" w:rsidRDefault="00B01842" w:rsidP="00B01842">
            <w:pPr>
              <w:tabs>
                <w:tab w:val="left" w:pos="567"/>
                <w:tab w:val="left" w:pos="5103"/>
                <w:tab w:val="left" w:pos="5670"/>
              </w:tabs>
              <w:rPr>
                <w:rFonts w:ascii="Arial" w:hAnsi="Arial" w:cs="Arial"/>
              </w:rPr>
            </w:pPr>
            <w:r w:rsidRPr="00FA3329">
              <w:rPr>
                <w:rFonts w:ascii="Arial" w:hAnsi="Arial" w:cs="Arial"/>
              </w:rPr>
              <w:t>Ersthelfer:</w:t>
            </w:r>
          </w:p>
          <w:p w:rsidR="00B01842" w:rsidRPr="00FA3329" w:rsidRDefault="00B01842" w:rsidP="0001190C">
            <w:pPr>
              <w:rPr>
                <w:rFonts w:ascii="Arial" w:hAnsi="Arial" w:cs="Arial"/>
              </w:rPr>
            </w:pPr>
            <w:r w:rsidRPr="00FA3329">
              <w:rPr>
                <w:rFonts w:ascii="Arial" w:hAnsi="Arial" w:cs="Arial"/>
              </w:rPr>
              <w:fldChar w:fldCharType="begin">
                <w:ffData>
                  <w:name w:val="Textbox1"/>
                  <w:enabled/>
                  <w:calcOnExit w:val="0"/>
                  <w:textInput/>
                </w:ffData>
              </w:fldChar>
            </w:r>
            <w:r w:rsidRPr="00FA3329">
              <w:rPr>
                <w:rFonts w:ascii="Arial" w:hAnsi="Arial" w:cs="Arial"/>
              </w:rPr>
              <w:instrText xml:space="preserve"> FORMTEXT </w:instrText>
            </w:r>
            <w:r w:rsidRPr="00FA3329">
              <w:rPr>
                <w:rFonts w:ascii="Arial" w:hAnsi="Arial" w:cs="Arial"/>
              </w:rPr>
            </w:r>
            <w:r w:rsidRPr="00FA3329">
              <w:rPr>
                <w:rFonts w:ascii="Arial" w:hAnsi="Arial" w:cs="Arial"/>
              </w:rPr>
              <w:fldChar w:fldCharType="separate"/>
            </w:r>
            <w:r w:rsidRPr="00FA3329">
              <w:rPr>
                <w:rFonts w:ascii="Arial" w:hAnsi="Arial" w:cs="Arial"/>
              </w:rPr>
              <w:t>     </w:t>
            </w:r>
            <w:r w:rsidRPr="00FA3329">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FA3329" w:rsidRDefault="00B01842" w:rsidP="00B01842">
            <w:pPr>
              <w:tabs>
                <w:tab w:val="left" w:pos="567"/>
                <w:tab w:val="left" w:pos="5103"/>
                <w:tab w:val="left" w:pos="5670"/>
              </w:tabs>
              <w:rPr>
                <w:rFonts w:ascii="Arial" w:hAnsi="Arial" w:cs="Arial"/>
              </w:rPr>
            </w:pPr>
            <w:r w:rsidRPr="00FA3329">
              <w:rPr>
                <w:rFonts w:ascii="Arial" w:hAnsi="Arial" w:cs="Arial"/>
              </w:rPr>
              <w:t>Standort Verbandkasten:</w:t>
            </w:r>
            <w:r w:rsidRPr="00FA3329">
              <w:rPr>
                <w:rFonts w:ascii="Arial" w:hAnsi="Arial" w:cs="Arial"/>
              </w:rPr>
              <w:br/>
            </w:r>
            <w:r w:rsidRPr="00FA3329">
              <w:rPr>
                <w:rFonts w:ascii="Arial" w:hAnsi="Arial" w:cs="Arial"/>
              </w:rPr>
              <w:fldChar w:fldCharType="begin">
                <w:ffData>
                  <w:name w:val="Textbox1"/>
                  <w:enabled/>
                  <w:calcOnExit w:val="0"/>
                  <w:textInput/>
                </w:ffData>
              </w:fldChar>
            </w:r>
            <w:r w:rsidRPr="00FA3329">
              <w:rPr>
                <w:rFonts w:ascii="Arial" w:hAnsi="Arial" w:cs="Arial"/>
              </w:rPr>
              <w:instrText xml:space="preserve"> FORMTEXT </w:instrText>
            </w:r>
            <w:r w:rsidRPr="00FA3329">
              <w:rPr>
                <w:rFonts w:ascii="Arial" w:hAnsi="Arial" w:cs="Arial"/>
              </w:rPr>
            </w:r>
            <w:r w:rsidRPr="00FA3329">
              <w:rPr>
                <w:rFonts w:ascii="Arial" w:hAnsi="Arial" w:cs="Arial"/>
              </w:rPr>
              <w:fldChar w:fldCharType="separate"/>
            </w:r>
            <w:r w:rsidRPr="00FA3329">
              <w:rPr>
                <w:rFonts w:ascii="Arial" w:hAnsi="Arial" w:cs="Arial"/>
              </w:rPr>
              <w:t>     </w:t>
            </w:r>
            <w:r w:rsidRPr="00FA3329">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FA3329" w:rsidRDefault="00FA3329" w:rsidP="00FA3329">
            <w:pPr>
              <w:ind w:left="360"/>
              <w:rPr>
                <w:rFonts w:ascii="Arial" w:hAnsi="Arial" w:cs="Arial"/>
                <w:bCs/>
                <w:snapToGrid w:val="0"/>
              </w:rPr>
            </w:pPr>
          </w:p>
          <w:p w:rsidR="00F303F9" w:rsidRPr="00FA3329" w:rsidRDefault="00F303F9" w:rsidP="0005551A">
            <w:pPr>
              <w:numPr>
                <w:ilvl w:val="0"/>
                <w:numId w:val="1"/>
              </w:numPr>
              <w:ind w:left="360"/>
              <w:rPr>
                <w:rFonts w:ascii="Arial" w:hAnsi="Arial" w:cs="Arial"/>
                <w:bCs/>
                <w:snapToGrid w:val="0"/>
              </w:rPr>
            </w:pPr>
            <w:r w:rsidRPr="00FA3329">
              <w:rPr>
                <w:rFonts w:ascii="Arial" w:hAnsi="Arial" w:cs="Arial"/>
                <w:bCs/>
                <w:snapToGrid w:val="0"/>
              </w:rPr>
              <w:t>Betroffene(n) bei Selbstschutz aus Gefahrenzone bergen!</w:t>
            </w:r>
          </w:p>
          <w:p w:rsidR="00F303F9" w:rsidRPr="00FA3329" w:rsidRDefault="00F303F9" w:rsidP="0005551A">
            <w:pPr>
              <w:numPr>
                <w:ilvl w:val="0"/>
                <w:numId w:val="1"/>
              </w:numPr>
              <w:ind w:left="360"/>
              <w:rPr>
                <w:rFonts w:ascii="Arial" w:hAnsi="Arial" w:cs="Arial"/>
                <w:bCs/>
                <w:snapToGrid w:val="0"/>
              </w:rPr>
            </w:pPr>
            <w:r w:rsidRPr="00FA3329">
              <w:rPr>
                <w:rFonts w:ascii="Arial" w:hAnsi="Arial" w:cs="Arial"/>
                <w:bCs/>
                <w:snapToGrid w:val="0"/>
              </w:rPr>
              <w:t>Bei Verbrennung Kaltwasseranwendung, Blasen nicht öffnen, Wunden keimfrei abdecken.</w:t>
            </w:r>
          </w:p>
          <w:p w:rsidR="00F303F9" w:rsidRPr="00FA3329" w:rsidRDefault="00F303F9" w:rsidP="0005551A">
            <w:pPr>
              <w:numPr>
                <w:ilvl w:val="0"/>
                <w:numId w:val="1"/>
              </w:numPr>
              <w:ind w:left="360"/>
              <w:rPr>
                <w:rFonts w:ascii="Arial" w:hAnsi="Arial" w:cs="Arial"/>
                <w:bCs/>
                <w:snapToGrid w:val="0"/>
              </w:rPr>
            </w:pPr>
            <w:r w:rsidRPr="00FA3329">
              <w:rPr>
                <w:rFonts w:ascii="Arial" w:hAnsi="Arial" w:cs="Arial"/>
                <w:bCs/>
                <w:snapToGrid w:val="0"/>
              </w:rPr>
              <w:t xml:space="preserve">Augen bei Erfrierung bei vorsichtig geöffnetem </w:t>
            </w:r>
            <w:proofErr w:type="spellStart"/>
            <w:r w:rsidRPr="00FA3329">
              <w:rPr>
                <w:rFonts w:ascii="Arial" w:hAnsi="Arial" w:cs="Arial"/>
                <w:bCs/>
                <w:snapToGrid w:val="0"/>
              </w:rPr>
              <w:t>Lidspalt</w:t>
            </w:r>
            <w:proofErr w:type="spellEnd"/>
            <w:r w:rsidRPr="00FA3329">
              <w:rPr>
                <w:rFonts w:ascii="Arial" w:hAnsi="Arial" w:cs="Arial"/>
                <w:bCs/>
                <w:snapToGrid w:val="0"/>
              </w:rPr>
              <w:t xml:space="preserve"> (Lidkrampf) von innen nach außen mit handwarmen Wasser oder physiologischer Kochsalzlösung spülen. Immer Augenarzt aufsuchen! </w:t>
            </w:r>
          </w:p>
          <w:p w:rsidR="00F303F9" w:rsidRPr="00FA3329" w:rsidRDefault="00F303F9" w:rsidP="0005551A">
            <w:pPr>
              <w:numPr>
                <w:ilvl w:val="0"/>
                <w:numId w:val="1"/>
              </w:numPr>
              <w:ind w:left="360"/>
              <w:rPr>
                <w:rFonts w:ascii="Arial" w:hAnsi="Arial" w:cs="Arial"/>
                <w:bCs/>
              </w:rPr>
            </w:pPr>
            <w:r w:rsidRPr="00FA3329">
              <w:rPr>
                <w:rFonts w:ascii="Arial" w:hAnsi="Arial" w:cs="Arial"/>
                <w:bCs/>
                <w:snapToGrid w:val="0"/>
              </w:rPr>
              <w:t>Nach Einatmen: Frischluftzufuhr gewährleisten! Atemwege freihalten.</w:t>
            </w:r>
            <w:r w:rsidR="00FA3329">
              <w:rPr>
                <w:rFonts w:ascii="Arial" w:hAnsi="Arial" w:cs="Arial"/>
                <w:bCs/>
                <w:snapToGrid w:val="0"/>
              </w:rPr>
              <w:br/>
            </w:r>
            <w:r w:rsidR="00FA3329">
              <w:rPr>
                <w:rFonts w:ascii="Arial" w:hAnsi="Arial" w:cs="Arial"/>
                <w:bCs/>
                <w:snapToGrid w:val="0"/>
              </w:rPr>
              <w:br/>
            </w:r>
            <w:r w:rsidRPr="00FA3329">
              <w:rPr>
                <w:rFonts w:ascii="Arial" w:hAnsi="Arial" w:cs="Arial"/>
                <w:bCs/>
              </w:rPr>
              <w:t>Arzt: …………….…………………………………..</w:t>
            </w:r>
          </w:p>
          <w:p w:rsidR="007C7713" w:rsidRPr="00FA3329" w:rsidRDefault="007C7713" w:rsidP="00FA3329">
            <w:pPr>
              <w:ind w:left="360"/>
              <w:rPr>
                <w:rFonts w:ascii="Arial" w:hAnsi="Arial" w:cs="Arial"/>
              </w:rPr>
            </w:pP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FA3329" w:rsidRDefault="00063111" w:rsidP="0001190C">
            <w:pPr>
              <w:jc w:val="center"/>
              <w:rPr>
                <w:rFonts w:ascii="Arial" w:hAnsi="Arial" w:cs="Arial"/>
                <w:b/>
                <w:color w:val="FFFFFF" w:themeColor="background1"/>
              </w:rPr>
            </w:pPr>
            <w:r w:rsidRPr="00FA3329">
              <w:rPr>
                <w:rFonts w:ascii="Arial" w:hAnsi="Arial" w:cs="Arial"/>
                <w:b/>
                <w:color w:val="FFFFFF" w:themeColor="background1"/>
              </w:rPr>
              <w:t xml:space="preserve">Sachgerechte </w:t>
            </w:r>
            <w:r w:rsidR="0001190C" w:rsidRPr="00FA3329">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FA3329" w:rsidRPr="00FA3329" w:rsidRDefault="00FA3329" w:rsidP="00FA3329">
            <w:pPr>
              <w:ind w:left="360"/>
              <w:rPr>
                <w:rFonts w:ascii="Arial" w:hAnsi="Arial" w:cs="Arial"/>
              </w:rPr>
            </w:pPr>
          </w:p>
          <w:p w:rsidR="007C7713" w:rsidRPr="00FA3329" w:rsidRDefault="00F303F9" w:rsidP="0005551A">
            <w:pPr>
              <w:pStyle w:val="Listenabsatz"/>
              <w:numPr>
                <w:ilvl w:val="0"/>
                <w:numId w:val="5"/>
              </w:numPr>
              <w:ind w:left="360"/>
              <w:rPr>
                <w:rFonts w:ascii="Arial" w:hAnsi="Arial" w:cs="Arial"/>
              </w:rPr>
            </w:pPr>
            <w:r w:rsidRPr="00FA3329">
              <w:rPr>
                <w:rFonts w:ascii="Arial" w:hAnsi="Arial" w:cs="Arial"/>
              </w:rPr>
              <w:t xml:space="preserve">Behälterentsorgung durch Rückgabe an Gaslieferanten/ </w:t>
            </w:r>
            <w:proofErr w:type="spellStart"/>
            <w:r w:rsidRPr="00FA3329">
              <w:rPr>
                <w:rFonts w:ascii="Arial" w:hAnsi="Arial" w:cs="Arial"/>
              </w:rPr>
              <w:t>Befüllstelle</w:t>
            </w:r>
            <w:proofErr w:type="spellEnd"/>
            <w:r w:rsidRPr="00FA3329">
              <w:rPr>
                <w:rFonts w:ascii="Arial" w:hAnsi="Arial" w:cs="Arial"/>
              </w:rPr>
              <w:t xml:space="preserve"> veranlassen! </w:t>
            </w:r>
            <w:r w:rsidR="00FA3329">
              <w:rPr>
                <w:rFonts w:ascii="Arial" w:hAnsi="Arial" w:cs="Arial"/>
              </w:rPr>
              <w:br/>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Default="0073579A" w:rsidP="007D496A">
      <w:pPr>
        <w:rPr>
          <w:rFonts w:ascii="Arial" w:hAnsi="Arial" w:cs="Arial"/>
          <w:sz w:val="2"/>
          <w:szCs w:val="2"/>
        </w:rPr>
      </w:pPr>
    </w:p>
    <w:p w:rsidR="0073579A" w:rsidRPr="0073579A" w:rsidRDefault="0073579A" w:rsidP="0073579A">
      <w:pPr>
        <w:rPr>
          <w:rFonts w:ascii="Arial" w:hAnsi="Arial" w:cs="Arial"/>
          <w:sz w:val="2"/>
          <w:szCs w:val="2"/>
        </w:rPr>
      </w:pPr>
    </w:p>
    <w:p w:rsidR="0073579A" w:rsidRPr="0073579A" w:rsidRDefault="0073579A" w:rsidP="0073579A">
      <w:pPr>
        <w:rPr>
          <w:rFonts w:ascii="Arial" w:hAnsi="Arial" w:cs="Arial"/>
          <w:sz w:val="2"/>
          <w:szCs w:val="2"/>
        </w:rPr>
      </w:pPr>
    </w:p>
    <w:p w:rsidR="0073579A" w:rsidRPr="0073579A" w:rsidRDefault="0073579A" w:rsidP="0073579A">
      <w:pPr>
        <w:rPr>
          <w:rFonts w:ascii="Arial" w:hAnsi="Arial" w:cs="Arial"/>
          <w:sz w:val="2"/>
          <w:szCs w:val="2"/>
        </w:rPr>
      </w:pPr>
    </w:p>
    <w:p w:rsidR="0073579A" w:rsidRPr="0073579A" w:rsidRDefault="0073579A" w:rsidP="0073579A">
      <w:pPr>
        <w:rPr>
          <w:rFonts w:ascii="Arial" w:hAnsi="Arial" w:cs="Arial"/>
          <w:sz w:val="2"/>
          <w:szCs w:val="2"/>
        </w:rPr>
      </w:pPr>
    </w:p>
    <w:p w:rsidR="0073579A" w:rsidRPr="0073579A" w:rsidRDefault="0073579A" w:rsidP="0073579A">
      <w:pPr>
        <w:rPr>
          <w:rFonts w:ascii="Arial" w:hAnsi="Arial" w:cs="Arial"/>
          <w:sz w:val="2"/>
          <w:szCs w:val="2"/>
        </w:rPr>
      </w:pPr>
    </w:p>
    <w:p w:rsidR="0073579A" w:rsidRPr="0073579A" w:rsidRDefault="0073579A" w:rsidP="0073579A">
      <w:pPr>
        <w:rPr>
          <w:rFonts w:ascii="Arial" w:hAnsi="Arial" w:cs="Arial"/>
          <w:sz w:val="2"/>
          <w:szCs w:val="2"/>
        </w:rPr>
      </w:pPr>
    </w:p>
    <w:sectPr w:rsidR="0073579A" w:rsidRPr="0073579A" w:rsidSect="007D496A">
      <w:headerReference w:type="even" r:id="rId14"/>
      <w:headerReference w:type="default" r:id="rId15"/>
      <w:footerReference w:type="even" r:id="rId16"/>
      <w:footerReference w:type="default" r:id="rId17"/>
      <w:headerReference w:type="first" r:id="rId18"/>
      <w:footerReference w:type="first" r:id="rId19"/>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FA3329">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FA3329">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0523CB">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w:t>
          </w:r>
          <w:r w:rsidR="0005551A">
            <w:rPr>
              <w:rFonts w:ascii="Arial" w:hAnsi="Arial" w:cs="Arial"/>
              <w:sz w:val="12"/>
              <w:szCs w:val="12"/>
            </w:rPr>
            <w:t xml:space="preserve"> Stand </w:t>
          </w:r>
          <w:r w:rsidR="0005551A">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05551A">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05551A">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05CA"/>
    <w:multiLevelType w:val="hybridMultilevel"/>
    <w:tmpl w:val="A11AD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82821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523CB"/>
    <w:rsid w:val="0005551A"/>
    <w:rsid w:val="00063111"/>
    <w:rsid w:val="001973F1"/>
    <w:rsid w:val="001A1F39"/>
    <w:rsid w:val="002263FB"/>
    <w:rsid w:val="00377CD5"/>
    <w:rsid w:val="004E4A85"/>
    <w:rsid w:val="00642467"/>
    <w:rsid w:val="00665D4A"/>
    <w:rsid w:val="006E1553"/>
    <w:rsid w:val="00724AB7"/>
    <w:rsid w:val="0073579A"/>
    <w:rsid w:val="00762823"/>
    <w:rsid w:val="007A0433"/>
    <w:rsid w:val="007C7713"/>
    <w:rsid w:val="007D496A"/>
    <w:rsid w:val="008B1D5E"/>
    <w:rsid w:val="00962DD4"/>
    <w:rsid w:val="009F5CDE"/>
    <w:rsid w:val="00A447BC"/>
    <w:rsid w:val="00A905B5"/>
    <w:rsid w:val="00AC0B79"/>
    <w:rsid w:val="00AC56E1"/>
    <w:rsid w:val="00AE5DC2"/>
    <w:rsid w:val="00B01842"/>
    <w:rsid w:val="00C135E0"/>
    <w:rsid w:val="00C25321"/>
    <w:rsid w:val="00C576E1"/>
    <w:rsid w:val="00C85DDF"/>
    <w:rsid w:val="00D11AAF"/>
    <w:rsid w:val="00D12AA6"/>
    <w:rsid w:val="00DC6A35"/>
    <w:rsid w:val="00DD6A8F"/>
    <w:rsid w:val="00DE5388"/>
    <w:rsid w:val="00E65D57"/>
    <w:rsid w:val="00E65F86"/>
    <w:rsid w:val="00F07343"/>
    <w:rsid w:val="00F303F9"/>
    <w:rsid w:val="00FA3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66451"/>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character" w:styleId="Seitenzahl">
    <w:name w:val="page number"/>
    <w:basedOn w:val="Absatz-Standardschriftart"/>
    <w:semiHidden/>
    <w:rsid w:val="00F3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Betriebsanweisung Fluessiggas</vt:lpstr>
    </vt:vector>
  </TitlesOfParts>
  <Company>SVLFG</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Fluessiggas</dc:title>
  <dc:subject/>
  <dc:creator/>
  <cp:keywords/>
  <dc:description/>
  <cp:lastModifiedBy>Huber, Michael</cp:lastModifiedBy>
  <cp:revision>4</cp:revision>
  <cp:lastPrinted>2020-11-26T10:37:00Z</cp:lastPrinted>
  <dcterms:created xsi:type="dcterms:W3CDTF">2023-01-17T09:02:00Z</dcterms:created>
  <dcterms:modified xsi:type="dcterms:W3CDTF">2023-04-14T08:21:00Z</dcterms:modified>
</cp:coreProperties>
</file>