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1018"/>
        <w:gridCol w:w="683"/>
        <w:gridCol w:w="1702"/>
        <w:gridCol w:w="1701"/>
        <w:gridCol w:w="849"/>
        <w:gridCol w:w="452"/>
        <w:gridCol w:w="400"/>
        <w:gridCol w:w="1845"/>
        <w:gridCol w:w="165"/>
      </w:tblGrid>
      <w:tr w:rsidR="00DF7B60" w:rsidRPr="00C17987" w:rsidTr="00EF669E">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B74E6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623" w:type="dxa"/>
            <w:gridSpan w:val="3"/>
            <w:vMerge w:val="restart"/>
            <w:tcBorders>
              <w:top w:val="single" w:sz="4" w:space="0" w:color="auto"/>
              <w:left w:val="nil"/>
              <w:right w:val="single" w:sz="4" w:space="0" w:color="auto"/>
            </w:tcBorders>
            <w:shd w:val="clear" w:color="auto" w:fill="auto"/>
            <w:noWrap/>
          </w:tcPr>
          <w:p w:rsidR="00285F7C" w:rsidRPr="005D44C3" w:rsidRDefault="00285F7C" w:rsidP="0002364E">
            <w:pPr>
              <w:rPr>
                <w:rFonts w:cs="Arial"/>
                <w:b/>
                <w:sz w:val="22"/>
                <w:szCs w:val="22"/>
              </w:rPr>
            </w:pPr>
            <w:r w:rsidRPr="005D44C3">
              <w:rPr>
                <w:rFonts w:cs="Arial"/>
                <w:b/>
                <w:sz w:val="22"/>
                <w:szCs w:val="22"/>
              </w:rPr>
              <w:t>Arbeitsbereich:</w:t>
            </w:r>
          </w:p>
          <w:p w:rsidR="00085AA9" w:rsidRPr="005D44C3" w:rsidRDefault="001E7CDC" w:rsidP="008C0B1F">
            <w:pPr>
              <w:pStyle w:val="Listenabsatz"/>
              <w:numPr>
                <w:ilvl w:val="0"/>
                <w:numId w:val="14"/>
              </w:numPr>
              <w:ind w:left="360"/>
              <w:rPr>
                <w:rFonts w:cs="Arial"/>
                <w:sz w:val="22"/>
                <w:szCs w:val="22"/>
              </w:rPr>
            </w:pPr>
            <w:r w:rsidRPr="005D44C3">
              <w:rPr>
                <w:rFonts w:cs="Arial"/>
                <w:sz w:val="22"/>
                <w:szCs w:val="22"/>
              </w:rPr>
              <w:t>Reinigungsarbeiten an und in Gebäuden</w:t>
            </w:r>
          </w:p>
        </w:tc>
        <w:tc>
          <w:tcPr>
            <w:tcW w:w="4935"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697" w:type="dxa"/>
            <w:gridSpan w:val="3"/>
            <w:vMerge w:val="restart"/>
            <w:tcBorders>
              <w:top w:val="single" w:sz="4" w:space="0" w:color="auto"/>
              <w:left w:val="single" w:sz="4" w:space="0" w:color="auto"/>
            </w:tcBorders>
            <w:shd w:val="clear" w:color="auto" w:fill="auto"/>
          </w:tcPr>
          <w:p w:rsidR="007B29F8" w:rsidRPr="005D44C3" w:rsidRDefault="007B29F8" w:rsidP="0002364E">
            <w:pPr>
              <w:rPr>
                <w:rFonts w:cs="Arial"/>
                <w:b/>
                <w:sz w:val="22"/>
                <w:szCs w:val="22"/>
              </w:rPr>
            </w:pPr>
            <w:r w:rsidRPr="005D44C3">
              <w:rPr>
                <w:rFonts w:cs="Arial"/>
                <w:b/>
                <w:sz w:val="22"/>
                <w:szCs w:val="22"/>
              </w:rPr>
              <w:t>Tätigkeit:</w:t>
            </w:r>
          </w:p>
          <w:p w:rsidR="007B29F8" w:rsidRPr="00C17987" w:rsidRDefault="001E7CDC" w:rsidP="008C0B1F">
            <w:pPr>
              <w:pStyle w:val="Listenabsatz"/>
              <w:numPr>
                <w:ilvl w:val="0"/>
                <w:numId w:val="14"/>
              </w:numPr>
              <w:ind w:left="360"/>
              <w:rPr>
                <w:rFonts w:cs="Arial"/>
                <w:b/>
                <w:sz w:val="20"/>
              </w:rPr>
            </w:pPr>
            <w:r w:rsidRPr="005D44C3">
              <w:rPr>
                <w:rFonts w:cs="Arial"/>
                <w:sz w:val="22"/>
                <w:szCs w:val="22"/>
              </w:rPr>
              <w:t xml:space="preserve">Entfernen von </w:t>
            </w:r>
            <w:r w:rsidR="00E76C46">
              <w:rPr>
                <w:rFonts w:cs="Arial"/>
                <w:sz w:val="22"/>
                <w:szCs w:val="22"/>
              </w:rPr>
              <w:br/>
            </w:r>
            <w:r w:rsidRPr="005D44C3">
              <w:rPr>
                <w:rFonts w:cs="Arial"/>
                <w:sz w:val="22"/>
                <w:szCs w:val="22"/>
              </w:rPr>
              <w:t>Taubenkot</w:t>
            </w: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74E6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623"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35"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74E6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623"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35"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772EC6">
              <w:rPr>
                <w:rFonts w:cs="Arial"/>
                <w:b/>
                <w:sz w:val="20"/>
              </w:rPr>
              <w:t xml:space="preserve"> </w:t>
            </w:r>
            <w:r w:rsidR="00067DBA">
              <w:rPr>
                <w:rFonts w:cs="Arial"/>
                <w:b/>
                <w:sz w:val="20"/>
              </w:rPr>
              <w:t>14</w:t>
            </w:r>
            <w:r w:rsidRPr="00C17987">
              <w:rPr>
                <w:rFonts w:cs="Arial"/>
                <w:b/>
                <w:sz w:val="20"/>
              </w:rPr>
              <w:t xml:space="preserve"> BioStoffV</w:t>
            </w: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74E6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623"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4935" w:type="dxa"/>
            <w:gridSpan w:val="4"/>
            <w:vMerge w:val="restart"/>
            <w:tcBorders>
              <w:top w:val="single" w:sz="4" w:space="0" w:color="auto"/>
              <w:left w:val="single" w:sz="4" w:space="0" w:color="auto"/>
              <w:right w:val="single" w:sz="4" w:space="0" w:color="auto"/>
            </w:tcBorders>
            <w:shd w:val="clear" w:color="auto" w:fill="auto"/>
          </w:tcPr>
          <w:p w:rsidR="00C471BA" w:rsidRPr="00C471BA" w:rsidRDefault="00C471BA" w:rsidP="005D44C3">
            <w:pPr>
              <w:rPr>
                <w:rFonts w:cs="Arial"/>
                <w:b/>
                <w:sz w:val="4"/>
                <w:szCs w:val="4"/>
              </w:rPr>
            </w:pPr>
          </w:p>
          <w:p w:rsidR="00605070" w:rsidRPr="00E76C46" w:rsidRDefault="005D44C3" w:rsidP="005D44C3">
            <w:pPr>
              <w:rPr>
                <w:rFonts w:cs="Arial"/>
                <w:b/>
                <w:sz w:val="22"/>
                <w:szCs w:val="22"/>
              </w:rPr>
            </w:pPr>
            <w:r w:rsidRPr="00E76C46">
              <w:rPr>
                <w:rFonts w:cs="Arial"/>
                <w:b/>
                <w:sz w:val="22"/>
                <w:szCs w:val="22"/>
              </w:rPr>
              <w:t>Firma</w:t>
            </w:r>
            <w:r w:rsidR="00605070" w:rsidRPr="00E76C46">
              <w:rPr>
                <w:rFonts w:cs="Arial"/>
                <w:b/>
                <w:sz w:val="22"/>
                <w:szCs w:val="22"/>
              </w:rPr>
              <w:t>:</w:t>
            </w:r>
          </w:p>
        </w:tc>
        <w:tc>
          <w:tcPr>
            <w:tcW w:w="2697"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74E6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623"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35"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74E6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623"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35"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9B674F" w:rsidRPr="00C17987" w:rsidTr="00EF669E">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EF669E">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Default="00A374D5" w:rsidP="0002364E">
            <w:pPr>
              <w:rPr>
                <w:rFonts w:cs="Arial"/>
                <w:sz w:val="20"/>
              </w:rPr>
            </w:pPr>
          </w:p>
          <w:p w:rsidR="00FB403B" w:rsidRDefault="00FB403B" w:rsidP="0002364E">
            <w:pPr>
              <w:rPr>
                <w:rFonts w:cs="Arial"/>
                <w:sz w:val="20"/>
              </w:rPr>
            </w:pPr>
          </w:p>
          <w:p w:rsidR="00FB403B" w:rsidRDefault="00FB403B" w:rsidP="0002364E">
            <w:pPr>
              <w:rPr>
                <w:rFonts w:cs="Arial"/>
                <w:sz w:val="20"/>
              </w:rPr>
            </w:pPr>
          </w:p>
          <w:p w:rsidR="00FB403B" w:rsidRDefault="00FB403B" w:rsidP="0002364E">
            <w:pPr>
              <w:rPr>
                <w:rFonts w:cs="Arial"/>
                <w:sz w:val="20"/>
              </w:rPr>
            </w:pPr>
          </w:p>
          <w:p w:rsidR="00FB403B" w:rsidRDefault="00FB403B" w:rsidP="0002364E">
            <w:pPr>
              <w:rPr>
                <w:rFonts w:cs="Arial"/>
                <w:sz w:val="20"/>
              </w:rPr>
            </w:pPr>
          </w:p>
          <w:p w:rsidR="00FB403B" w:rsidRDefault="00FB403B" w:rsidP="0002364E">
            <w:pPr>
              <w:rPr>
                <w:rFonts w:cs="Arial"/>
                <w:sz w:val="20"/>
              </w:rPr>
            </w:pPr>
          </w:p>
          <w:p w:rsidR="00FB403B" w:rsidRDefault="00FB403B" w:rsidP="0002364E">
            <w:pPr>
              <w:rPr>
                <w:rFonts w:cs="Arial"/>
                <w:sz w:val="20"/>
              </w:rPr>
            </w:pPr>
          </w:p>
          <w:p w:rsidR="00FB403B" w:rsidRDefault="00FB403B" w:rsidP="0002364E">
            <w:pPr>
              <w:rPr>
                <w:rFonts w:cs="Arial"/>
                <w:sz w:val="20"/>
              </w:rPr>
            </w:pPr>
          </w:p>
          <w:p w:rsidR="00FB403B" w:rsidRPr="00C17987" w:rsidRDefault="00FB403B" w:rsidP="0002364E">
            <w:pPr>
              <w:rPr>
                <w:rFonts w:cs="Arial"/>
                <w:sz w:val="20"/>
              </w:rPr>
            </w:pPr>
          </w:p>
          <w:p w:rsidR="00E76C46" w:rsidRDefault="00E76C46" w:rsidP="0002364E">
            <w:pPr>
              <w:rPr>
                <w:rFonts w:cs="Arial"/>
                <w:noProof/>
                <w:sz w:val="20"/>
              </w:rPr>
            </w:pPr>
          </w:p>
          <w:p w:rsidR="00E76C46" w:rsidRDefault="00E76C46" w:rsidP="0002364E">
            <w:pPr>
              <w:rPr>
                <w:rFonts w:cs="Arial"/>
                <w:noProof/>
                <w:sz w:val="20"/>
              </w:rPr>
            </w:pPr>
          </w:p>
          <w:p w:rsidR="00E76C46" w:rsidRDefault="00E76C46" w:rsidP="0002364E">
            <w:pPr>
              <w:rPr>
                <w:rFonts w:cs="Arial"/>
                <w:noProof/>
                <w:sz w:val="20"/>
              </w:rPr>
            </w:pPr>
          </w:p>
          <w:p w:rsidR="00E76C46" w:rsidRDefault="00E76C46" w:rsidP="0002364E">
            <w:pPr>
              <w:rPr>
                <w:rFonts w:cs="Arial"/>
                <w:noProof/>
                <w:sz w:val="20"/>
              </w:rPr>
            </w:pPr>
          </w:p>
          <w:p w:rsidR="00E76C46" w:rsidRDefault="00E76C46" w:rsidP="0002364E">
            <w:pPr>
              <w:rPr>
                <w:rFonts w:cs="Arial"/>
                <w:noProof/>
                <w:sz w:val="20"/>
              </w:rPr>
            </w:pPr>
          </w:p>
          <w:p w:rsidR="0072651C" w:rsidRDefault="00A17376" w:rsidP="0002364E">
            <w:pPr>
              <w:rPr>
                <w:rFonts w:cs="Arial"/>
                <w:sz w:val="20"/>
              </w:rPr>
            </w:pPr>
            <w:r>
              <w:rPr>
                <w:rFonts w:cs="Arial"/>
                <w:noProof/>
                <w:sz w:val="20"/>
              </w:rPr>
              <w:drawing>
                <wp:inline distT="0" distB="0" distL="0" distR="0">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8C1A89" w:rsidRDefault="008C1A89" w:rsidP="00085FB7">
            <w:pPr>
              <w:ind w:left="-70"/>
              <w:rPr>
                <w:rFonts w:cs="Arial"/>
                <w:sz w:val="20"/>
              </w:rPr>
            </w:pPr>
          </w:p>
          <w:p w:rsidR="00085FB7" w:rsidRPr="005D44C3" w:rsidRDefault="00085FB7" w:rsidP="00085FB7">
            <w:pPr>
              <w:ind w:left="-70"/>
              <w:rPr>
                <w:rFonts w:cs="Arial"/>
                <w:sz w:val="22"/>
                <w:szCs w:val="22"/>
              </w:rPr>
            </w:pPr>
            <w:r w:rsidRPr="005D44C3">
              <w:rPr>
                <w:rFonts w:cs="Arial"/>
                <w:sz w:val="22"/>
                <w:szCs w:val="22"/>
              </w:rPr>
              <w:t xml:space="preserve">Beschäftigte sind bei Reinigungsarbeiten an und in Gebäuden, z. B. bei Arbeiten mit älterem und jüngerem Taubenkot gegenüber einer Vielzahl von biologischen Arbeitsstoffen </w:t>
            </w:r>
            <w:r w:rsidR="00067DBA" w:rsidRPr="005D44C3">
              <w:rPr>
                <w:rFonts w:cs="Arial"/>
                <w:sz w:val="22"/>
                <w:szCs w:val="22"/>
              </w:rPr>
              <w:t xml:space="preserve">(Biostoffen) </w:t>
            </w:r>
            <w:r w:rsidRPr="005D44C3">
              <w:rPr>
                <w:rFonts w:cs="Arial"/>
                <w:sz w:val="22"/>
                <w:szCs w:val="22"/>
              </w:rPr>
              <w:t>exponiert:</w:t>
            </w:r>
          </w:p>
          <w:p w:rsidR="00085FB7" w:rsidRPr="005D44C3" w:rsidRDefault="00085FB7" w:rsidP="00085FB7">
            <w:pPr>
              <w:numPr>
                <w:ilvl w:val="0"/>
                <w:numId w:val="11"/>
              </w:numPr>
              <w:tabs>
                <w:tab w:val="clear" w:pos="720"/>
                <w:tab w:val="num" w:pos="284"/>
              </w:tabs>
              <w:ind w:left="284" w:hanging="284"/>
              <w:rPr>
                <w:rFonts w:cs="Arial"/>
                <w:sz w:val="22"/>
                <w:szCs w:val="22"/>
              </w:rPr>
            </w:pPr>
            <w:r w:rsidRPr="005D44C3">
              <w:rPr>
                <w:rFonts w:cs="Arial"/>
                <w:sz w:val="22"/>
                <w:szCs w:val="22"/>
              </w:rPr>
              <w:t xml:space="preserve">Bakterien mit möglicher infektiöser (z. B. Erreger der Psittakose bzw. </w:t>
            </w:r>
            <w:proofErr w:type="spellStart"/>
            <w:r w:rsidRPr="005D44C3">
              <w:rPr>
                <w:rFonts w:cs="Arial"/>
                <w:sz w:val="22"/>
                <w:szCs w:val="22"/>
              </w:rPr>
              <w:t>Ornithose</w:t>
            </w:r>
            <w:proofErr w:type="spellEnd"/>
            <w:r w:rsidRPr="005D44C3">
              <w:rPr>
                <w:rFonts w:cs="Arial"/>
                <w:sz w:val="22"/>
                <w:szCs w:val="22"/>
              </w:rPr>
              <w:t>), sensibilisierender oder toxischer Wirkung</w:t>
            </w:r>
          </w:p>
          <w:p w:rsidR="00085FB7" w:rsidRPr="005D44C3" w:rsidRDefault="00085FB7" w:rsidP="00085FB7">
            <w:pPr>
              <w:numPr>
                <w:ilvl w:val="0"/>
                <w:numId w:val="11"/>
              </w:numPr>
              <w:tabs>
                <w:tab w:val="clear" w:pos="720"/>
                <w:tab w:val="num" w:pos="284"/>
              </w:tabs>
              <w:ind w:left="284" w:hanging="284"/>
              <w:rPr>
                <w:rFonts w:cs="Arial"/>
                <w:sz w:val="22"/>
                <w:szCs w:val="22"/>
              </w:rPr>
            </w:pPr>
            <w:r w:rsidRPr="005D44C3">
              <w:rPr>
                <w:rFonts w:cs="Arial"/>
                <w:sz w:val="22"/>
                <w:szCs w:val="22"/>
              </w:rPr>
              <w:t>Schimmelpilze mit möglicher infektiöser, sensibilisierender oder toxischer Wirkung</w:t>
            </w:r>
          </w:p>
          <w:p w:rsidR="00085FB7" w:rsidRPr="005D44C3" w:rsidRDefault="00085FB7" w:rsidP="00085FB7">
            <w:pPr>
              <w:numPr>
                <w:ilvl w:val="0"/>
                <w:numId w:val="11"/>
              </w:numPr>
              <w:tabs>
                <w:tab w:val="clear" w:pos="720"/>
                <w:tab w:val="num" w:pos="284"/>
              </w:tabs>
              <w:ind w:left="284" w:hanging="284"/>
              <w:rPr>
                <w:rFonts w:cs="Arial"/>
                <w:sz w:val="22"/>
                <w:szCs w:val="22"/>
              </w:rPr>
            </w:pPr>
            <w:r w:rsidRPr="005D44C3">
              <w:rPr>
                <w:rFonts w:cs="Arial"/>
                <w:sz w:val="22"/>
                <w:szCs w:val="22"/>
              </w:rPr>
              <w:t xml:space="preserve">Viren mit möglicher infektiöser Wirkung (z. B. </w:t>
            </w:r>
            <w:proofErr w:type="spellStart"/>
            <w:r w:rsidRPr="005D44C3">
              <w:rPr>
                <w:rFonts w:cs="Arial"/>
                <w:sz w:val="22"/>
                <w:szCs w:val="22"/>
              </w:rPr>
              <w:t>Hantavirus</w:t>
            </w:r>
            <w:proofErr w:type="spellEnd"/>
            <w:r w:rsidRPr="005D44C3">
              <w:rPr>
                <w:rFonts w:cs="Arial"/>
                <w:sz w:val="22"/>
                <w:szCs w:val="22"/>
              </w:rPr>
              <w:t>, HPAI-Viren)</w:t>
            </w:r>
          </w:p>
          <w:p w:rsidR="00085FB7" w:rsidRPr="005D44C3" w:rsidRDefault="00085FB7" w:rsidP="00085FB7">
            <w:pPr>
              <w:rPr>
                <w:rFonts w:cs="Arial"/>
                <w:sz w:val="22"/>
                <w:szCs w:val="22"/>
              </w:rPr>
            </w:pPr>
            <w:r w:rsidRPr="005D44C3">
              <w:rPr>
                <w:rFonts w:cs="Arial"/>
                <w:sz w:val="22"/>
                <w:szCs w:val="22"/>
              </w:rPr>
              <w:t xml:space="preserve">Neben </w:t>
            </w:r>
            <w:r w:rsidR="00067DBA" w:rsidRPr="005D44C3">
              <w:rPr>
                <w:rFonts w:cs="Arial"/>
                <w:sz w:val="22"/>
                <w:szCs w:val="22"/>
              </w:rPr>
              <w:t xml:space="preserve">Biostoffen </w:t>
            </w:r>
            <w:r w:rsidRPr="005D44C3">
              <w:rPr>
                <w:rFonts w:cs="Arial"/>
                <w:sz w:val="22"/>
                <w:szCs w:val="22"/>
              </w:rPr>
              <w:t>kommen Parasiten wie Taubenzecken (</w:t>
            </w:r>
            <w:proofErr w:type="spellStart"/>
            <w:r w:rsidRPr="005D44C3">
              <w:rPr>
                <w:rFonts w:cs="Arial"/>
                <w:i/>
                <w:sz w:val="22"/>
                <w:szCs w:val="22"/>
              </w:rPr>
              <w:t>Argas</w:t>
            </w:r>
            <w:proofErr w:type="spellEnd"/>
            <w:r w:rsidRPr="005D44C3">
              <w:rPr>
                <w:rFonts w:cs="Arial"/>
                <w:i/>
                <w:sz w:val="22"/>
                <w:szCs w:val="22"/>
              </w:rPr>
              <w:t xml:space="preserve"> </w:t>
            </w:r>
            <w:proofErr w:type="spellStart"/>
            <w:r w:rsidRPr="005D44C3">
              <w:rPr>
                <w:rFonts w:cs="Arial"/>
                <w:i/>
                <w:sz w:val="22"/>
                <w:szCs w:val="22"/>
              </w:rPr>
              <w:t>reflexus</w:t>
            </w:r>
            <w:proofErr w:type="spellEnd"/>
            <w:r w:rsidRPr="005D44C3">
              <w:rPr>
                <w:rFonts w:cs="Arial"/>
                <w:sz w:val="22"/>
                <w:szCs w:val="22"/>
              </w:rPr>
              <w:t xml:space="preserve">) und Milben </w:t>
            </w:r>
            <w:r w:rsidRPr="005D44C3">
              <w:rPr>
                <w:sz w:val="22"/>
                <w:szCs w:val="22"/>
              </w:rPr>
              <w:t>als Auslöser von gesundheitlichen Problemen in Betracht.</w:t>
            </w:r>
          </w:p>
          <w:p w:rsidR="00E76C46" w:rsidRDefault="00E76C46" w:rsidP="00085FB7">
            <w:pPr>
              <w:rPr>
                <w:rFonts w:cs="Arial"/>
                <w:b/>
                <w:sz w:val="22"/>
                <w:szCs w:val="22"/>
              </w:rPr>
            </w:pPr>
          </w:p>
          <w:p w:rsidR="00085FB7" w:rsidRPr="005D44C3" w:rsidRDefault="00085FB7" w:rsidP="00085FB7">
            <w:pPr>
              <w:rPr>
                <w:rFonts w:cs="Arial"/>
                <w:b/>
                <w:sz w:val="22"/>
                <w:szCs w:val="22"/>
              </w:rPr>
            </w:pPr>
            <w:r w:rsidRPr="005D44C3">
              <w:rPr>
                <w:rFonts w:cs="Arial"/>
                <w:b/>
                <w:sz w:val="22"/>
                <w:szCs w:val="22"/>
              </w:rPr>
              <w:t>Aufnahmepfade/Übertragungswege:</w:t>
            </w:r>
          </w:p>
          <w:p w:rsidR="00085FB7" w:rsidRPr="005D44C3" w:rsidRDefault="00085FB7" w:rsidP="00085FB7">
            <w:pPr>
              <w:rPr>
                <w:rFonts w:cs="Arial"/>
                <w:sz w:val="22"/>
                <w:szCs w:val="22"/>
              </w:rPr>
            </w:pPr>
            <w:r w:rsidRPr="005D44C3">
              <w:rPr>
                <w:rFonts w:cs="Arial"/>
                <w:sz w:val="22"/>
                <w:szCs w:val="22"/>
              </w:rPr>
              <w:t xml:space="preserve">Eine Infektion mit dem Erreger der Psittakose bzw. </w:t>
            </w:r>
            <w:proofErr w:type="spellStart"/>
            <w:r w:rsidRPr="005D44C3">
              <w:rPr>
                <w:rFonts w:cs="Arial"/>
                <w:sz w:val="22"/>
                <w:szCs w:val="22"/>
              </w:rPr>
              <w:t>Ornithose</w:t>
            </w:r>
            <w:proofErr w:type="spellEnd"/>
            <w:r w:rsidRPr="005D44C3">
              <w:rPr>
                <w:rFonts w:cs="Arial"/>
                <w:sz w:val="22"/>
                <w:szCs w:val="22"/>
              </w:rPr>
              <w:t xml:space="preserve"> (</w:t>
            </w:r>
            <w:proofErr w:type="spellStart"/>
            <w:r w:rsidRPr="005D44C3">
              <w:rPr>
                <w:rFonts w:cs="Arial"/>
                <w:i/>
                <w:sz w:val="22"/>
                <w:szCs w:val="22"/>
              </w:rPr>
              <w:t>Chlamydia</w:t>
            </w:r>
            <w:proofErr w:type="spellEnd"/>
            <w:r w:rsidRPr="005D44C3">
              <w:rPr>
                <w:rFonts w:cs="Arial"/>
                <w:sz w:val="22"/>
                <w:szCs w:val="22"/>
              </w:rPr>
              <w:t xml:space="preserve"> </w:t>
            </w:r>
            <w:proofErr w:type="spellStart"/>
            <w:r w:rsidRPr="005D44C3">
              <w:rPr>
                <w:rFonts w:cs="Arial"/>
                <w:i/>
                <w:sz w:val="22"/>
                <w:szCs w:val="22"/>
              </w:rPr>
              <w:t>psittaci</w:t>
            </w:r>
            <w:proofErr w:type="spellEnd"/>
            <w:r w:rsidRPr="005D44C3">
              <w:rPr>
                <w:rFonts w:cs="Arial"/>
                <w:sz w:val="22"/>
                <w:szCs w:val="22"/>
              </w:rPr>
              <w:t xml:space="preserve">) kann über Kontakt mit infizierten Tieren (z. B. Ziervögel, Haus- und Wildgeflügel) erfolgen. Die Übertragung dieses Erregers und weiterer </w:t>
            </w:r>
            <w:r w:rsidR="00067DBA" w:rsidRPr="005D44C3">
              <w:rPr>
                <w:rFonts w:cs="Arial"/>
                <w:sz w:val="22"/>
                <w:szCs w:val="22"/>
              </w:rPr>
              <w:t xml:space="preserve">Biostoffe </w:t>
            </w:r>
            <w:r w:rsidRPr="005D44C3">
              <w:rPr>
                <w:rFonts w:cs="Arial"/>
                <w:sz w:val="22"/>
                <w:szCs w:val="22"/>
              </w:rPr>
              <w:t xml:space="preserve">erfolgt über Schmierinfektion (z. B. Berühren des Mundes mit verschmutzten Händen durch kontaminierte Gegenstände oder Handschuhe) sowie über Inhalation infektiösen Staubes (Tröpfcheninfektion). </w:t>
            </w:r>
            <w:r w:rsidR="00067DBA" w:rsidRPr="005D44C3">
              <w:rPr>
                <w:rFonts w:cs="Arial"/>
                <w:sz w:val="22"/>
                <w:szCs w:val="22"/>
              </w:rPr>
              <w:t xml:space="preserve">Biostoffe </w:t>
            </w:r>
            <w:r w:rsidRPr="005D44C3">
              <w:rPr>
                <w:rFonts w:cs="Arial"/>
                <w:sz w:val="22"/>
                <w:szCs w:val="22"/>
              </w:rPr>
              <w:t xml:space="preserve">können auch durch Verzehr in den Verdauungstrakt gelangen sowie über die Schleimhaut (z. B. Mundschleimhaut, Rachenschleimhaut, Nasenschleimhaut, Bindehaut des Auges) und über Wunden bzw. vorgeschädigte Haut in den Körper gelangen. </w:t>
            </w:r>
          </w:p>
          <w:p w:rsidR="00E76C46" w:rsidRDefault="00E76C46" w:rsidP="00085FB7">
            <w:pPr>
              <w:autoSpaceDE w:val="0"/>
              <w:autoSpaceDN w:val="0"/>
              <w:adjustRightInd w:val="0"/>
              <w:rPr>
                <w:rFonts w:cs="Arial"/>
                <w:b/>
                <w:sz w:val="22"/>
                <w:szCs w:val="22"/>
              </w:rPr>
            </w:pPr>
          </w:p>
          <w:p w:rsidR="00085FB7" w:rsidRPr="005D44C3" w:rsidRDefault="00085FB7" w:rsidP="00085FB7">
            <w:pPr>
              <w:autoSpaceDE w:val="0"/>
              <w:autoSpaceDN w:val="0"/>
              <w:adjustRightInd w:val="0"/>
              <w:rPr>
                <w:rFonts w:cs="Arial"/>
                <w:b/>
                <w:sz w:val="22"/>
                <w:szCs w:val="22"/>
              </w:rPr>
            </w:pPr>
            <w:r w:rsidRPr="005D44C3">
              <w:rPr>
                <w:rFonts w:cs="Arial"/>
                <w:b/>
                <w:sz w:val="22"/>
                <w:szCs w:val="22"/>
              </w:rPr>
              <w:t xml:space="preserve">Gesundheitliche Wirkungen: </w:t>
            </w:r>
          </w:p>
          <w:p w:rsidR="00085FB7" w:rsidRPr="005D44C3" w:rsidRDefault="00085FB7" w:rsidP="00085FB7">
            <w:pPr>
              <w:autoSpaceDE w:val="0"/>
              <w:autoSpaceDN w:val="0"/>
              <w:adjustRightInd w:val="0"/>
              <w:rPr>
                <w:rFonts w:cs="Arial"/>
                <w:sz w:val="22"/>
                <w:szCs w:val="22"/>
              </w:rPr>
            </w:pPr>
            <w:r w:rsidRPr="005D44C3">
              <w:rPr>
                <w:rFonts w:cs="Arial"/>
                <w:sz w:val="22"/>
                <w:szCs w:val="22"/>
              </w:rPr>
              <w:t xml:space="preserve">Durch günstige Bedingungen oder ein schwaches Immunsystem können </w:t>
            </w:r>
            <w:r w:rsidR="00067DBA" w:rsidRPr="005D44C3">
              <w:rPr>
                <w:rFonts w:cs="Arial"/>
                <w:sz w:val="22"/>
                <w:szCs w:val="22"/>
              </w:rPr>
              <w:t xml:space="preserve">Biostoffe </w:t>
            </w:r>
            <w:r w:rsidRPr="005D44C3">
              <w:rPr>
                <w:rFonts w:cs="Arial"/>
                <w:sz w:val="22"/>
                <w:szCs w:val="22"/>
              </w:rPr>
              <w:t xml:space="preserve">schwere Krankheiten beim Menschen hervorrufen und stellen dann eine ernste Gefahr für die Beschäftigten dar. Einige </w:t>
            </w:r>
            <w:r w:rsidR="00067DBA" w:rsidRPr="005D44C3">
              <w:rPr>
                <w:rFonts w:cs="Arial"/>
                <w:sz w:val="22"/>
                <w:szCs w:val="22"/>
              </w:rPr>
              <w:t xml:space="preserve">Biostoffe </w:t>
            </w:r>
            <w:r w:rsidRPr="005D44C3">
              <w:rPr>
                <w:rFonts w:cs="Arial"/>
                <w:sz w:val="22"/>
                <w:szCs w:val="22"/>
              </w:rPr>
              <w:t>können sensibilisierende oder toxische Wirkungen beim Menschen hervorrufen.</w:t>
            </w:r>
          </w:p>
          <w:p w:rsidR="00085FB7" w:rsidRPr="005D44C3" w:rsidRDefault="00085FB7" w:rsidP="00085FB7">
            <w:pPr>
              <w:rPr>
                <w:rFonts w:cs="Arial"/>
                <w:sz w:val="22"/>
                <w:szCs w:val="22"/>
              </w:rPr>
            </w:pPr>
          </w:p>
          <w:p w:rsidR="00085FB7" w:rsidRPr="005D44C3" w:rsidRDefault="00085FB7" w:rsidP="00085FB7">
            <w:pPr>
              <w:rPr>
                <w:rFonts w:cs="Arial"/>
                <w:sz w:val="22"/>
                <w:szCs w:val="22"/>
              </w:rPr>
            </w:pPr>
            <w:r w:rsidRPr="005D44C3">
              <w:rPr>
                <w:rFonts w:cs="Arial"/>
                <w:sz w:val="22"/>
                <w:szCs w:val="22"/>
              </w:rPr>
              <w:t>Durch den Stich der Taubenzecke ist eine Übertragung von Infektionserregern auf den Menschen denkbar sowie eine Allergie möglich. Parasitische Taubenmilben können allergische Reaktionen oder eine akute Hautentzündung (Dermatitis) hervorrufen. Auf die BGI 892 wird verwiesen.</w:t>
            </w:r>
          </w:p>
          <w:p w:rsidR="008C1A89" w:rsidRPr="00085FB7" w:rsidRDefault="008C1A89" w:rsidP="00085FB7">
            <w:pPr>
              <w:rPr>
                <w:rFonts w:cs="Arial"/>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EF669E">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A45F1C">
              <w:rPr>
                <w:rFonts w:cs="Arial"/>
                <w:smallCaps/>
                <w:color w:val="FFFFFF"/>
                <w:szCs w:val="24"/>
              </w:rPr>
              <w:t>S</w:t>
            </w:r>
            <w:r w:rsidRPr="00C17A88">
              <w:rPr>
                <w:rFonts w:cs="Arial"/>
                <w:b/>
                <w:smallCaps/>
                <w:color w:val="FFFFFF"/>
                <w:szCs w:val="24"/>
              </w:rPr>
              <w:t>chutzmaßnahmen und Verhaltensregeln</w:t>
            </w:r>
          </w:p>
        </w:tc>
        <w:tc>
          <w:tcPr>
            <w:tcW w:w="165"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EF669E">
        <w:trPr>
          <w:trHeight w:val="709"/>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37A0D" w:rsidRDefault="00737A0D" w:rsidP="00737A0D">
            <w:pPr>
              <w:autoSpaceDE w:val="0"/>
              <w:autoSpaceDN w:val="0"/>
              <w:adjustRightInd w:val="0"/>
              <w:rPr>
                <w:rFonts w:cs="Arial"/>
                <w:sz w:val="20"/>
              </w:rPr>
            </w:pPr>
          </w:p>
          <w:p w:rsidR="008C1A89" w:rsidRDefault="008C1A89" w:rsidP="00737A0D">
            <w:pPr>
              <w:autoSpaceDE w:val="0"/>
              <w:autoSpaceDN w:val="0"/>
              <w:adjustRightInd w:val="0"/>
              <w:rPr>
                <w:rFonts w:cs="Arial"/>
                <w:sz w:val="20"/>
              </w:rPr>
            </w:pPr>
          </w:p>
          <w:p w:rsidR="00FB403B" w:rsidRPr="00C17987" w:rsidRDefault="00FB403B" w:rsidP="00737A0D">
            <w:pPr>
              <w:autoSpaceDE w:val="0"/>
              <w:autoSpaceDN w:val="0"/>
              <w:adjustRightInd w:val="0"/>
              <w:rPr>
                <w:rFonts w:cs="Arial"/>
                <w:sz w:val="20"/>
              </w:rPr>
            </w:pPr>
          </w:p>
          <w:p w:rsidR="00737A0D" w:rsidRPr="00C17987" w:rsidRDefault="00A17376" w:rsidP="00737A0D">
            <w:pPr>
              <w:ind w:right="85"/>
              <w:rPr>
                <w:rFonts w:cs="Arial"/>
                <w:sz w:val="20"/>
              </w:rPr>
            </w:pPr>
            <w:r>
              <w:rPr>
                <w:noProof/>
              </w:rPr>
              <w:drawing>
                <wp:inline distT="0" distB="0" distL="0" distR="0">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37A0D" w:rsidRPr="00C17987" w:rsidRDefault="00A17376" w:rsidP="00737A0D">
            <w:pPr>
              <w:ind w:right="85"/>
              <w:rPr>
                <w:rFonts w:cs="Arial"/>
                <w:sz w:val="20"/>
              </w:rPr>
            </w:pPr>
            <w:r>
              <w:rPr>
                <w:rFonts w:ascii="Tahoma" w:hAnsi="Tahoma" w:cs="Tahoma"/>
                <w:noProof/>
                <w:sz w:val="20"/>
              </w:rPr>
              <w:drawing>
                <wp:inline distT="0" distB="0" distL="0" distR="0">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37A0D" w:rsidRPr="00C17987" w:rsidRDefault="00A17376" w:rsidP="00737A0D">
            <w:pPr>
              <w:ind w:right="85"/>
              <w:rPr>
                <w:rFonts w:cs="Arial"/>
                <w:sz w:val="20"/>
              </w:rPr>
            </w:pPr>
            <w:r>
              <w:rPr>
                <w:rFonts w:cs="Arial"/>
                <w:noProof/>
                <w:sz w:val="20"/>
              </w:rPr>
              <w:drawing>
                <wp:inline distT="0" distB="0" distL="0" distR="0">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37A0D" w:rsidRPr="00C17987" w:rsidRDefault="00A17376" w:rsidP="00737A0D">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37A0D" w:rsidRDefault="00737A0D" w:rsidP="00737A0D">
            <w:pPr>
              <w:autoSpaceDE w:val="0"/>
              <w:autoSpaceDN w:val="0"/>
              <w:adjustRightInd w:val="0"/>
              <w:rPr>
                <w:rFonts w:cs="Arial"/>
                <w:sz w:val="20"/>
              </w:rPr>
            </w:pPr>
          </w:p>
          <w:p w:rsidR="00737A0D" w:rsidRDefault="00737A0D" w:rsidP="00737A0D">
            <w:pPr>
              <w:autoSpaceDE w:val="0"/>
              <w:autoSpaceDN w:val="0"/>
              <w:adjustRightInd w:val="0"/>
              <w:rPr>
                <w:rFonts w:cs="Arial"/>
                <w:sz w:val="20"/>
              </w:rPr>
            </w:pPr>
          </w:p>
          <w:p w:rsidR="00737A0D" w:rsidRPr="007A1DA2" w:rsidRDefault="00737A0D" w:rsidP="00737A0D">
            <w:pPr>
              <w:ind w:right="85"/>
              <w:rPr>
                <w:rFonts w:cs="Arial"/>
                <w:szCs w:val="24"/>
              </w:rPr>
            </w:pPr>
          </w:p>
          <w:p w:rsidR="0072651C" w:rsidRPr="00C17987" w:rsidRDefault="0072651C" w:rsidP="0002364E">
            <w:pPr>
              <w:autoSpaceDE w:val="0"/>
              <w:autoSpaceDN w:val="0"/>
              <w:adjustRightInd w:val="0"/>
              <w:rPr>
                <w:rFonts w:cs="Arial"/>
                <w:sz w:val="20"/>
              </w:rPr>
            </w:pPr>
          </w:p>
        </w:tc>
        <w:tc>
          <w:tcPr>
            <w:tcW w:w="9263" w:type="dxa"/>
            <w:gridSpan w:val="9"/>
            <w:tcBorders>
              <w:top w:val="nil"/>
              <w:left w:val="nil"/>
              <w:right w:val="nil"/>
            </w:tcBorders>
            <w:shd w:val="clear" w:color="auto" w:fill="auto"/>
          </w:tcPr>
          <w:p w:rsidR="008C1A89" w:rsidRDefault="008C1A89" w:rsidP="0059414E">
            <w:pPr>
              <w:autoSpaceDE w:val="0"/>
              <w:autoSpaceDN w:val="0"/>
              <w:adjustRightInd w:val="0"/>
              <w:rPr>
                <w:rFonts w:cs="Arial"/>
                <w:b/>
                <w:sz w:val="20"/>
              </w:rPr>
            </w:pPr>
          </w:p>
          <w:p w:rsidR="0059414E" w:rsidRPr="005D44C3" w:rsidRDefault="0059414E" w:rsidP="0059414E">
            <w:pPr>
              <w:autoSpaceDE w:val="0"/>
              <w:autoSpaceDN w:val="0"/>
              <w:adjustRightInd w:val="0"/>
              <w:rPr>
                <w:rFonts w:cs="Arial"/>
                <w:b/>
                <w:sz w:val="22"/>
                <w:szCs w:val="22"/>
              </w:rPr>
            </w:pPr>
            <w:r w:rsidRPr="005D44C3">
              <w:rPr>
                <w:rFonts w:cs="Arial"/>
                <w:b/>
                <w:sz w:val="22"/>
                <w:szCs w:val="22"/>
              </w:rPr>
              <w:t>Hygienevorgaben:</w:t>
            </w:r>
          </w:p>
          <w:p w:rsidR="0059414E" w:rsidRPr="005D44C3" w:rsidRDefault="0059414E" w:rsidP="0059414E">
            <w:pPr>
              <w:numPr>
                <w:ilvl w:val="0"/>
                <w:numId w:val="12"/>
              </w:numPr>
              <w:tabs>
                <w:tab w:val="num" w:pos="426"/>
              </w:tabs>
              <w:rPr>
                <w:rFonts w:cs="Arial"/>
                <w:sz w:val="22"/>
                <w:szCs w:val="22"/>
              </w:rPr>
            </w:pPr>
            <w:r w:rsidRPr="005D44C3">
              <w:rPr>
                <w:rFonts w:cs="Arial"/>
                <w:sz w:val="22"/>
                <w:szCs w:val="22"/>
              </w:rPr>
              <w:t>Während der Arbeit nicht essen, trinken oder rauchen.</w:t>
            </w:r>
          </w:p>
          <w:p w:rsidR="0059414E" w:rsidRPr="005D44C3" w:rsidRDefault="0059414E" w:rsidP="0059414E">
            <w:pPr>
              <w:numPr>
                <w:ilvl w:val="0"/>
                <w:numId w:val="12"/>
              </w:numPr>
              <w:tabs>
                <w:tab w:val="num" w:pos="426"/>
              </w:tabs>
              <w:rPr>
                <w:rFonts w:cs="Arial"/>
                <w:sz w:val="22"/>
                <w:szCs w:val="22"/>
              </w:rPr>
            </w:pPr>
            <w:r w:rsidRPr="005D44C3">
              <w:rPr>
                <w:rFonts w:cs="Arial"/>
                <w:sz w:val="22"/>
                <w:szCs w:val="22"/>
              </w:rPr>
              <w:t>Der Hautschutzplan ist zu beachten.</w:t>
            </w:r>
          </w:p>
          <w:p w:rsidR="0059414E" w:rsidRPr="005D44C3" w:rsidRDefault="0059414E" w:rsidP="0059414E">
            <w:pPr>
              <w:numPr>
                <w:ilvl w:val="0"/>
                <w:numId w:val="12"/>
              </w:numPr>
              <w:tabs>
                <w:tab w:val="num" w:pos="426"/>
              </w:tabs>
              <w:rPr>
                <w:rFonts w:cs="Arial"/>
                <w:sz w:val="22"/>
                <w:szCs w:val="22"/>
              </w:rPr>
            </w:pPr>
            <w:r w:rsidRPr="005D44C3">
              <w:rPr>
                <w:rFonts w:cs="Arial"/>
                <w:sz w:val="22"/>
                <w:szCs w:val="22"/>
              </w:rPr>
              <w:t>Die Pausen- oder Bereitschaftsräume bzw. Tagesunterkünfte nicht mit stark verschmutzter Arbeitskleidung betreten.</w:t>
            </w:r>
          </w:p>
          <w:p w:rsidR="00E76C46" w:rsidRDefault="00E76C46" w:rsidP="0059414E">
            <w:pPr>
              <w:autoSpaceDE w:val="0"/>
              <w:autoSpaceDN w:val="0"/>
              <w:adjustRightInd w:val="0"/>
              <w:rPr>
                <w:rFonts w:cs="Arial"/>
                <w:b/>
                <w:sz w:val="22"/>
                <w:szCs w:val="22"/>
              </w:rPr>
            </w:pPr>
          </w:p>
          <w:p w:rsidR="0059414E" w:rsidRPr="005D44C3" w:rsidRDefault="0059414E" w:rsidP="0059414E">
            <w:pPr>
              <w:autoSpaceDE w:val="0"/>
              <w:autoSpaceDN w:val="0"/>
              <w:adjustRightInd w:val="0"/>
              <w:rPr>
                <w:rFonts w:cs="Arial"/>
                <w:b/>
                <w:sz w:val="22"/>
                <w:szCs w:val="22"/>
              </w:rPr>
            </w:pPr>
            <w:r w:rsidRPr="005D44C3">
              <w:rPr>
                <w:rFonts w:cs="Arial"/>
                <w:b/>
                <w:sz w:val="22"/>
                <w:szCs w:val="22"/>
              </w:rPr>
              <w:t>Maßnahmen zur Reinigung und Desinfektion:</w:t>
            </w:r>
          </w:p>
          <w:p w:rsidR="0059414E" w:rsidRPr="005D44C3" w:rsidRDefault="0059414E" w:rsidP="0059414E">
            <w:pPr>
              <w:numPr>
                <w:ilvl w:val="0"/>
                <w:numId w:val="12"/>
              </w:numPr>
              <w:tabs>
                <w:tab w:val="num" w:pos="426"/>
              </w:tabs>
              <w:rPr>
                <w:rFonts w:cs="Arial"/>
                <w:sz w:val="22"/>
                <w:szCs w:val="22"/>
              </w:rPr>
            </w:pPr>
            <w:r w:rsidRPr="005D44C3">
              <w:rPr>
                <w:rFonts w:cs="Arial"/>
                <w:sz w:val="22"/>
                <w:szCs w:val="22"/>
              </w:rPr>
              <w:t>Arbeitsbereich und verwendete Arbeitsmittel sind sachgerecht zu reinigen und zu desinfizieren.</w:t>
            </w:r>
          </w:p>
          <w:p w:rsidR="00484F2D" w:rsidRPr="005D44C3" w:rsidRDefault="00484F2D" w:rsidP="00484F2D">
            <w:pPr>
              <w:numPr>
                <w:ilvl w:val="0"/>
                <w:numId w:val="12"/>
              </w:numPr>
              <w:tabs>
                <w:tab w:val="num" w:pos="426"/>
              </w:tabs>
              <w:rPr>
                <w:rFonts w:cs="Arial"/>
                <w:sz w:val="22"/>
                <w:szCs w:val="22"/>
              </w:rPr>
            </w:pPr>
            <w:r w:rsidRPr="005D44C3">
              <w:rPr>
                <w:rFonts w:cs="Arial"/>
                <w:sz w:val="22"/>
                <w:szCs w:val="22"/>
              </w:rPr>
              <w:t>Hände reinigen und desinfizieren.</w:t>
            </w:r>
          </w:p>
          <w:p w:rsidR="0059414E" w:rsidRPr="005D44C3" w:rsidRDefault="0059414E" w:rsidP="0059414E">
            <w:pPr>
              <w:numPr>
                <w:ilvl w:val="0"/>
                <w:numId w:val="12"/>
              </w:numPr>
              <w:tabs>
                <w:tab w:val="num" w:pos="426"/>
              </w:tabs>
              <w:rPr>
                <w:rFonts w:cs="Arial"/>
                <w:sz w:val="22"/>
                <w:szCs w:val="22"/>
              </w:rPr>
            </w:pPr>
            <w:r w:rsidRPr="005D44C3">
              <w:rPr>
                <w:rFonts w:cs="Arial"/>
                <w:sz w:val="22"/>
                <w:szCs w:val="22"/>
              </w:rPr>
              <w:t>Nach Verlassen des Arbeitsbereiches ist PSA zum mehrfachen Gebrauch (Korbbrille, Schuhwerk) abzulegen, sachgerecht zu reinigen und zu desinfizieren.</w:t>
            </w:r>
          </w:p>
          <w:p w:rsidR="00E76C46" w:rsidRDefault="00E76C46" w:rsidP="0059414E">
            <w:pPr>
              <w:autoSpaceDE w:val="0"/>
              <w:autoSpaceDN w:val="0"/>
              <w:adjustRightInd w:val="0"/>
              <w:rPr>
                <w:rFonts w:cs="Arial"/>
                <w:b/>
                <w:sz w:val="22"/>
                <w:szCs w:val="22"/>
              </w:rPr>
            </w:pPr>
          </w:p>
          <w:p w:rsidR="00E76C46" w:rsidRDefault="00E76C46" w:rsidP="0059414E">
            <w:pPr>
              <w:autoSpaceDE w:val="0"/>
              <w:autoSpaceDN w:val="0"/>
              <w:adjustRightInd w:val="0"/>
              <w:rPr>
                <w:rFonts w:cs="Arial"/>
                <w:b/>
                <w:sz w:val="22"/>
                <w:szCs w:val="22"/>
              </w:rPr>
            </w:pPr>
          </w:p>
          <w:p w:rsidR="00E76C46" w:rsidRDefault="00E76C46" w:rsidP="0059414E">
            <w:pPr>
              <w:autoSpaceDE w:val="0"/>
              <w:autoSpaceDN w:val="0"/>
              <w:adjustRightInd w:val="0"/>
              <w:rPr>
                <w:rFonts w:cs="Arial"/>
                <w:b/>
                <w:sz w:val="22"/>
                <w:szCs w:val="22"/>
              </w:rPr>
            </w:pPr>
          </w:p>
          <w:p w:rsidR="00E76C46" w:rsidRDefault="00E76C46" w:rsidP="0059414E">
            <w:pPr>
              <w:autoSpaceDE w:val="0"/>
              <w:autoSpaceDN w:val="0"/>
              <w:adjustRightInd w:val="0"/>
              <w:rPr>
                <w:rFonts w:cs="Arial"/>
                <w:b/>
                <w:sz w:val="22"/>
                <w:szCs w:val="22"/>
              </w:rPr>
            </w:pPr>
          </w:p>
          <w:p w:rsidR="00E76C46" w:rsidRDefault="00E76C46" w:rsidP="0059414E">
            <w:pPr>
              <w:autoSpaceDE w:val="0"/>
              <w:autoSpaceDN w:val="0"/>
              <w:adjustRightInd w:val="0"/>
              <w:rPr>
                <w:rFonts w:cs="Arial"/>
                <w:b/>
                <w:sz w:val="22"/>
                <w:szCs w:val="22"/>
              </w:rPr>
            </w:pPr>
          </w:p>
          <w:p w:rsidR="00E76C46" w:rsidRDefault="00E76C46" w:rsidP="0059414E">
            <w:pPr>
              <w:autoSpaceDE w:val="0"/>
              <w:autoSpaceDN w:val="0"/>
              <w:adjustRightInd w:val="0"/>
              <w:rPr>
                <w:rFonts w:cs="Arial"/>
                <w:b/>
                <w:sz w:val="22"/>
                <w:szCs w:val="22"/>
              </w:rPr>
            </w:pPr>
          </w:p>
          <w:p w:rsidR="0059414E" w:rsidRPr="005D44C3" w:rsidRDefault="0059414E" w:rsidP="0059414E">
            <w:pPr>
              <w:autoSpaceDE w:val="0"/>
              <w:autoSpaceDN w:val="0"/>
              <w:adjustRightInd w:val="0"/>
              <w:rPr>
                <w:rFonts w:cs="Arial"/>
                <w:b/>
                <w:sz w:val="22"/>
                <w:szCs w:val="22"/>
              </w:rPr>
            </w:pPr>
            <w:r w:rsidRPr="005D44C3">
              <w:rPr>
                <w:rFonts w:cs="Arial"/>
                <w:b/>
                <w:sz w:val="22"/>
                <w:szCs w:val="22"/>
              </w:rPr>
              <w:t>Maßnahmen zur Verhütung einer Exposition:</w:t>
            </w:r>
          </w:p>
          <w:p w:rsidR="0059414E" w:rsidRPr="005D44C3" w:rsidRDefault="0059414E" w:rsidP="0059414E">
            <w:pPr>
              <w:numPr>
                <w:ilvl w:val="0"/>
                <w:numId w:val="12"/>
              </w:numPr>
              <w:tabs>
                <w:tab w:val="num" w:pos="426"/>
              </w:tabs>
              <w:rPr>
                <w:rFonts w:cs="Arial"/>
                <w:sz w:val="22"/>
                <w:szCs w:val="22"/>
              </w:rPr>
            </w:pPr>
            <w:r w:rsidRPr="005D44C3">
              <w:rPr>
                <w:rFonts w:cs="Arial"/>
                <w:sz w:val="22"/>
                <w:szCs w:val="22"/>
              </w:rPr>
              <w:t>Bioaerosole sind durch geeignete Arbeitsverfahren zu vermeiden oder zu reduzieren.</w:t>
            </w:r>
            <w:r w:rsidR="0074502C">
              <w:rPr>
                <w:rFonts w:cs="Arial"/>
                <w:sz w:val="22"/>
                <w:szCs w:val="22"/>
              </w:rPr>
              <w:br/>
            </w:r>
            <w:r w:rsidRPr="005D44C3">
              <w:rPr>
                <w:rFonts w:cs="Arial"/>
                <w:sz w:val="22"/>
                <w:szCs w:val="22"/>
              </w:rPr>
              <w:t xml:space="preserve">Insbesondere ist bei trockenen Taubenkotansammlungen auf den Einsatz von Besen, Bürsten, Schrubbern oder Hochdruckreiniger zu verzichten. Geeignet hingegen sind </w:t>
            </w:r>
            <w:r w:rsidR="0074502C">
              <w:rPr>
                <w:rFonts w:cs="Arial"/>
                <w:sz w:val="22"/>
                <w:szCs w:val="22"/>
              </w:rPr>
              <w:br/>
            </w:r>
            <w:r w:rsidRPr="005D44C3">
              <w:rPr>
                <w:rFonts w:cs="Arial"/>
                <w:sz w:val="22"/>
                <w:szCs w:val="22"/>
              </w:rPr>
              <w:t>spezielle Industriestaubsauger mit Filterpatronen der Kategorie H (siehe auch BGI 892).</w:t>
            </w:r>
          </w:p>
          <w:p w:rsidR="0059414E" w:rsidRPr="005D44C3" w:rsidRDefault="0074502C" w:rsidP="0074502C">
            <w:pPr>
              <w:numPr>
                <w:ilvl w:val="0"/>
                <w:numId w:val="11"/>
              </w:numPr>
              <w:tabs>
                <w:tab w:val="clear" w:pos="720"/>
                <w:tab w:val="num" w:pos="284"/>
              </w:tabs>
              <w:ind w:left="284" w:hanging="284"/>
              <w:rPr>
                <w:rFonts w:cs="Arial"/>
                <w:sz w:val="22"/>
                <w:szCs w:val="22"/>
              </w:rPr>
            </w:pPr>
            <w:r>
              <w:rPr>
                <w:rFonts w:cs="Arial"/>
                <w:sz w:val="22"/>
                <w:szCs w:val="22"/>
              </w:rPr>
              <w:t xml:space="preserve"> </w:t>
            </w:r>
            <w:r w:rsidR="0059414E" w:rsidRPr="005D44C3">
              <w:rPr>
                <w:rFonts w:cs="Arial"/>
                <w:sz w:val="22"/>
                <w:szCs w:val="22"/>
              </w:rPr>
              <w:t xml:space="preserve">Kontakte mit Tieren, insbesondere Nagetieren und deren Ausscheidungen sind zu </w:t>
            </w:r>
            <w:r>
              <w:rPr>
                <w:rFonts w:cs="Arial"/>
                <w:sz w:val="22"/>
                <w:szCs w:val="22"/>
              </w:rPr>
              <w:br/>
              <w:t xml:space="preserve"> </w:t>
            </w:r>
            <w:r w:rsidR="0059414E" w:rsidRPr="005D44C3">
              <w:rPr>
                <w:rFonts w:cs="Arial"/>
                <w:sz w:val="22"/>
                <w:szCs w:val="22"/>
              </w:rPr>
              <w:t>vermeiden.</w:t>
            </w:r>
          </w:p>
          <w:p w:rsidR="0072651C" w:rsidRPr="00A45F1C" w:rsidRDefault="0059414E" w:rsidP="00A45F1C">
            <w:pPr>
              <w:numPr>
                <w:ilvl w:val="0"/>
                <w:numId w:val="12"/>
              </w:numPr>
              <w:tabs>
                <w:tab w:val="num" w:pos="426"/>
              </w:tabs>
              <w:rPr>
                <w:rFonts w:cs="Arial"/>
                <w:sz w:val="20"/>
              </w:rPr>
            </w:pPr>
            <w:r w:rsidRPr="005D44C3">
              <w:rPr>
                <w:rFonts w:cs="Arial"/>
                <w:sz w:val="22"/>
                <w:szCs w:val="22"/>
              </w:rPr>
              <w:t xml:space="preserve">Wilde und/oder verendete Tiere dürfen nur bei Einhaltung der vorgegebenen </w:t>
            </w:r>
            <w:r w:rsidR="0074502C">
              <w:rPr>
                <w:rFonts w:cs="Arial"/>
                <w:sz w:val="22"/>
                <w:szCs w:val="22"/>
              </w:rPr>
              <w:br/>
            </w:r>
            <w:r w:rsidRPr="005D44C3">
              <w:rPr>
                <w:rFonts w:cs="Arial"/>
                <w:sz w:val="22"/>
                <w:szCs w:val="22"/>
              </w:rPr>
              <w:t>Schutzmaßnahmen und Verhaltensregeln</w:t>
            </w:r>
            <w:r w:rsidRPr="005D44C3" w:rsidDel="00901764">
              <w:rPr>
                <w:rFonts w:cs="Arial"/>
                <w:sz w:val="22"/>
                <w:szCs w:val="22"/>
              </w:rPr>
              <w:t xml:space="preserve"> </w:t>
            </w:r>
            <w:r w:rsidR="00A45F1C" w:rsidRPr="005D44C3">
              <w:rPr>
                <w:rFonts w:cs="Arial"/>
                <w:sz w:val="22"/>
                <w:szCs w:val="22"/>
              </w:rPr>
              <w:t>berührt werden.</w:t>
            </w:r>
            <w:r w:rsidR="008C1A89">
              <w:rPr>
                <w:rFonts w:cs="Arial"/>
                <w:sz w:val="20"/>
              </w:rPr>
              <w:br/>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lastRenderedPageBreak/>
              <w:t> </w:t>
            </w:r>
          </w:p>
        </w:tc>
      </w:tr>
      <w:tr w:rsidR="00A45F1C" w:rsidRPr="00C17987" w:rsidTr="00EF669E">
        <w:trPr>
          <w:trHeight w:val="397"/>
        </w:trPr>
        <w:tc>
          <w:tcPr>
            <w:tcW w:w="172" w:type="dxa"/>
            <w:tcBorders>
              <w:top w:val="nil"/>
              <w:left w:val="nil"/>
              <w:right w:val="nil"/>
            </w:tcBorders>
            <w:shd w:val="clear" w:color="auto" w:fill="008000"/>
            <w:noWrap/>
            <w:vAlign w:val="bottom"/>
          </w:tcPr>
          <w:p w:rsidR="00A45F1C" w:rsidRPr="00C17987" w:rsidRDefault="00A45F1C" w:rsidP="0002364E">
            <w:pPr>
              <w:rPr>
                <w:rFonts w:cs="Arial"/>
                <w:sz w:val="20"/>
              </w:rPr>
            </w:pPr>
            <w:r>
              <w:br w:type="page"/>
            </w:r>
          </w:p>
        </w:tc>
        <w:tc>
          <w:tcPr>
            <w:tcW w:w="992" w:type="dxa"/>
            <w:tcBorders>
              <w:top w:val="nil"/>
              <w:left w:val="nil"/>
              <w:right w:val="nil"/>
            </w:tcBorders>
            <w:shd w:val="clear" w:color="auto" w:fill="008000"/>
            <w:noWrap/>
          </w:tcPr>
          <w:p w:rsidR="00A45F1C" w:rsidRPr="00C17987" w:rsidRDefault="00A45F1C" w:rsidP="0002364E">
            <w:pPr>
              <w:ind w:right="85"/>
              <w:rPr>
                <w:rFonts w:cs="Arial"/>
                <w:sz w:val="20"/>
              </w:rPr>
            </w:pPr>
          </w:p>
        </w:tc>
        <w:tc>
          <w:tcPr>
            <w:tcW w:w="9263" w:type="dxa"/>
            <w:gridSpan w:val="9"/>
            <w:tcBorders>
              <w:top w:val="nil"/>
              <w:left w:val="nil"/>
              <w:right w:val="nil"/>
            </w:tcBorders>
            <w:shd w:val="clear" w:color="auto" w:fill="008000"/>
            <w:vAlign w:val="center"/>
          </w:tcPr>
          <w:p w:rsidR="00A45F1C" w:rsidRPr="0059414E" w:rsidRDefault="00A45F1C" w:rsidP="00A45F1C">
            <w:pPr>
              <w:autoSpaceDE w:val="0"/>
              <w:autoSpaceDN w:val="0"/>
              <w:adjustRightInd w:val="0"/>
              <w:jc w:val="center"/>
              <w:rPr>
                <w:rFonts w:cs="Arial"/>
                <w:b/>
                <w:sz w:val="20"/>
              </w:rPr>
            </w:pPr>
            <w:r w:rsidRPr="00A45F1C">
              <w:rPr>
                <w:rFonts w:cs="Arial"/>
                <w:smallCaps/>
                <w:color w:val="FFFFFF"/>
                <w:szCs w:val="24"/>
              </w:rPr>
              <w:t>S</w:t>
            </w:r>
            <w:r w:rsidRPr="00C17A88">
              <w:rPr>
                <w:rFonts w:cs="Arial"/>
                <w:b/>
                <w:smallCaps/>
                <w:color w:val="FFFFFF"/>
                <w:szCs w:val="24"/>
              </w:rPr>
              <w:t>chutzmaßnahmen und Verhaltensregeln</w:t>
            </w:r>
          </w:p>
        </w:tc>
        <w:tc>
          <w:tcPr>
            <w:tcW w:w="165" w:type="dxa"/>
            <w:tcBorders>
              <w:top w:val="nil"/>
              <w:left w:val="nil"/>
              <w:right w:val="nil"/>
            </w:tcBorders>
            <w:shd w:val="clear" w:color="auto" w:fill="008000"/>
            <w:noWrap/>
            <w:vAlign w:val="bottom"/>
          </w:tcPr>
          <w:p w:rsidR="00A45F1C" w:rsidRPr="00C17987" w:rsidRDefault="00A45F1C" w:rsidP="0002364E">
            <w:pPr>
              <w:rPr>
                <w:rFonts w:cs="Arial"/>
                <w:sz w:val="20"/>
              </w:rPr>
            </w:pPr>
          </w:p>
        </w:tc>
      </w:tr>
      <w:tr w:rsidR="00A45F1C" w:rsidRPr="00C17987" w:rsidTr="00EF669E">
        <w:trPr>
          <w:trHeight w:val="1845"/>
        </w:trPr>
        <w:tc>
          <w:tcPr>
            <w:tcW w:w="172" w:type="dxa"/>
            <w:tcBorders>
              <w:top w:val="nil"/>
              <w:left w:val="nil"/>
              <w:right w:val="nil"/>
            </w:tcBorders>
            <w:shd w:val="clear" w:color="auto" w:fill="008000"/>
            <w:noWrap/>
            <w:vAlign w:val="bottom"/>
          </w:tcPr>
          <w:p w:rsidR="00A45F1C" w:rsidRPr="00C17987" w:rsidRDefault="00A45F1C" w:rsidP="0002364E">
            <w:pPr>
              <w:rPr>
                <w:rFonts w:cs="Arial"/>
                <w:sz w:val="20"/>
              </w:rPr>
            </w:pPr>
          </w:p>
        </w:tc>
        <w:tc>
          <w:tcPr>
            <w:tcW w:w="992" w:type="dxa"/>
            <w:tcBorders>
              <w:top w:val="nil"/>
              <w:left w:val="nil"/>
              <w:right w:val="nil"/>
            </w:tcBorders>
            <w:shd w:val="clear" w:color="auto" w:fill="auto"/>
            <w:noWrap/>
          </w:tcPr>
          <w:p w:rsidR="00B74E61" w:rsidRDefault="00B74E61" w:rsidP="0002364E">
            <w:pPr>
              <w:ind w:right="85"/>
              <w:rPr>
                <w:rFonts w:cs="Arial"/>
                <w:noProof/>
                <w:sz w:val="20"/>
              </w:rPr>
            </w:pPr>
          </w:p>
          <w:p w:rsidR="00A45F1C" w:rsidRDefault="00FB403B" w:rsidP="0002364E">
            <w:pPr>
              <w:ind w:right="85"/>
              <w:rPr>
                <w:rFonts w:cs="Arial"/>
                <w:sz w:val="20"/>
              </w:rPr>
            </w:pPr>
            <w:r>
              <w:rPr>
                <w:rFonts w:cs="Arial"/>
                <w:noProof/>
                <w:sz w:val="20"/>
              </w:rPr>
              <w:drawing>
                <wp:inline distT="0" distB="0" distL="0" distR="0" wp14:anchorId="2709302B" wp14:editId="2689A12A">
                  <wp:extent cx="504000" cy="504000"/>
                  <wp:effectExtent l="0" t="0" r="0" b="0"/>
                  <wp:docPr id="10"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B403B" w:rsidRDefault="00FB403B" w:rsidP="0002364E">
            <w:pPr>
              <w:ind w:right="85"/>
              <w:rPr>
                <w:rFonts w:cs="Arial"/>
                <w:sz w:val="20"/>
              </w:rPr>
            </w:pPr>
            <w:r>
              <w:rPr>
                <w:rFonts w:cs="Arial"/>
                <w:noProof/>
                <w:sz w:val="20"/>
              </w:rPr>
              <w:drawing>
                <wp:inline distT="0" distB="0" distL="0" distR="0" wp14:anchorId="35F21DBC" wp14:editId="246B8985">
                  <wp:extent cx="504000" cy="504000"/>
                  <wp:effectExtent l="0" t="0" r="0" b="0"/>
                  <wp:docPr id="11"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B403B" w:rsidRPr="00C17987" w:rsidRDefault="00FB403B" w:rsidP="0002364E">
            <w:pPr>
              <w:ind w:right="85"/>
              <w:rPr>
                <w:rFonts w:cs="Arial"/>
                <w:sz w:val="20"/>
              </w:rPr>
            </w:pPr>
            <w:r>
              <w:rPr>
                <w:rFonts w:cs="Arial"/>
                <w:noProof/>
                <w:sz w:val="20"/>
              </w:rPr>
              <w:drawing>
                <wp:inline distT="0" distB="0" distL="0" distR="0" wp14:anchorId="3A97E014" wp14:editId="6F7C2699">
                  <wp:extent cx="504000" cy="504000"/>
                  <wp:effectExtent l="0" t="0" r="0" b="0"/>
                  <wp:docPr id="12"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8C1A89" w:rsidRDefault="008C1A89" w:rsidP="00A45F1C">
            <w:pPr>
              <w:autoSpaceDE w:val="0"/>
              <w:autoSpaceDN w:val="0"/>
              <w:adjustRightInd w:val="0"/>
              <w:jc w:val="both"/>
              <w:outlineLvl w:val="0"/>
              <w:rPr>
                <w:rFonts w:cs="Arial"/>
                <w:b/>
                <w:sz w:val="20"/>
              </w:rPr>
            </w:pPr>
          </w:p>
          <w:p w:rsidR="00A45F1C" w:rsidRPr="005D44C3" w:rsidRDefault="00A45F1C" w:rsidP="00A45F1C">
            <w:pPr>
              <w:autoSpaceDE w:val="0"/>
              <w:autoSpaceDN w:val="0"/>
              <w:adjustRightInd w:val="0"/>
              <w:jc w:val="both"/>
              <w:outlineLvl w:val="0"/>
              <w:rPr>
                <w:rFonts w:cs="Arial"/>
                <w:b/>
                <w:sz w:val="22"/>
                <w:szCs w:val="22"/>
              </w:rPr>
            </w:pPr>
            <w:r w:rsidRPr="005D44C3">
              <w:rPr>
                <w:rFonts w:cs="Arial"/>
                <w:b/>
                <w:sz w:val="22"/>
                <w:szCs w:val="22"/>
              </w:rPr>
              <w:t>Empfohlene PSA (</w:t>
            </w:r>
            <w:r w:rsidR="00067DBA" w:rsidRPr="005D44C3">
              <w:rPr>
                <w:rFonts w:cs="Arial"/>
                <w:b/>
                <w:bCs/>
                <w:sz w:val="22"/>
                <w:szCs w:val="22"/>
              </w:rPr>
              <w:t>Bio</w:t>
            </w:r>
            <w:r w:rsidRPr="005D44C3">
              <w:rPr>
                <w:rFonts w:cs="Arial"/>
                <w:b/>
                <w:sz w:val="22"/>
                <w:szCs w:val="22"/>
              </w:rPr>
              <w:t>stoffe liegen als Aerosol vor):</w:t>
            </w:r>
          </w:p>
          <w:p w:rsidR="00A45F1C" w:rsidRPr="005D44C3" w:rsidRDefault="00A45F1C" w:rsidP="00A45F1C">
            <w:pPr>
              <w:numPr>
                <w:ilvl w:val="0"/>
                <w:numId w:val="1"/>
              </w:numPr>
              <w:tabs>
                <w:tab w:val="clear" w:pos="720"/>
                <w:tab w:val="num" w:pos="426"/>
              </w:tabs>
              <w:ind w:left="426" w:hanging="426"/>
              <w:rPr>
                <w:rFonts w:cs="Arial"/>
                <w:sz w:val="22"/>
                <w:szCs w:val="22"/>
              </w:rPr>
            </w:pPr>
            <w:r w:rsidRPr="005D44C3">
              <w:rPr>
                <w:rFonts w:cs="Arial"/>
                <w:sz w:val="22"/>
                <w:szCs w:val="22"/>
              </w:rPr>
              <w:t>Korbbrille</w:t>
            </w:r>
          </w:p>
          <w:p w:rsidR="00A45F1C" w:rsidRPr="005D44C3" w:rsidRDefault="00A45F1C" w:rsidP="00A45F1C">
            <w:pPr>
              <w:numPr>
                <w:ilvl w:val="0"/>
                <w:numId w:val="1"/>
              </w:numPr>
              <w:tabs>
                <w:tab w:val="clear" w:pos="720"/>
                <w:tab w:val="num" w:pos="426"/>
              </w:tabs>
              <w:ind w:left="426" w:hanging="426"/>
              <w:rPr>
                <w:rFonts w:cs="Arial"/>
                <w:sz w:val="22"/>
                <w:szCs w:val="22"/>
              </w:rPr>
            </w:pPr>
            <w:r w:rsidRPr="005D44C3">
              <w:rPr>
                <w:rFonts w:cs="Arial"/>
                <w:sz w:val="22"/>
                <w:szCs w:val="22"/>
              </w:rPr>
              <w:t xml:space="preserve">nach BGI 892, bei geringfügiger Exposition partikelfiltrierender Atemschutz (im Handel erhältlich als Feinstaubmaske) FFP3 (verbindlich, da mit </w:t>
            </w:r>
            <w:r w:rsidR="00067DBA" w:rsidRPr="005D44C3">
              <w:rPr>
                <w:rFonts w:cs="Arial"/>
                <w:sz w:val="22"/>
                <w:szCs w:val="22"/>
              </w:rPr>
              <w:t xml:space="preserve">Biostoffen </w:t>
            </w:r>
            <w:r w:rsidRPr="005D44C3">
              <w:rPr>
                <w:rFonts w:cs="Arial"/>
                <w:sz w:val="22"/>
                <w:szCs w:val="22"/>
              </w:rPr>
              <w:t xml:space="preserve">der RG 3 zu rechnen ist) mit Ausatemventil; bei erhöhter Exposition </w:t>
            </w:r>
            <w:proofErr w:type="spellStart"/>
            <w:r w:rsidRPr="005D44C3">
              <w:rPr>
                <w:rFonts w:cs="Arial"/>
                <w:sz w:val="22"/>
                <w:szCs w:val="22"/>
              </w:rPr>
              <w:t>gebläseunterstützte</w:t>
            </w:r>
            <w:proofErr w:type="spellEnd"/>
            <w:r w:rsidRPr="005D44C3">
              <w:rPr>
                <w:rFonts w:cs="Arial"/>
                <w:sz w:val="22"/>
                <w:szCs w:val="22"/>
              </w:rPr>
              <w:t xml:space="preserve"> Halb- oder Vollmaske mit Partikelfilter (TM3P)</w:t>
            </w:r>
          </w:p>
          <w:p w:rsidR="00A45F1C" w:rsidRPr="005D44C3" w:rsidRDefault="00A45F1C" w:rsidP="00A45F1C">
            <w:pPr>
              <w:numPr>
                <w:ilvl w:val="0"/>
                <w:numId w:val="1"/>
              </w:numPr>
              <w:tabs>
                <w:tab w:val="clear" w:pos="720"/>
                <w:tab w:val="num" w:pos="426"/>
              </w:tabs>
              <w:ind w:left="426" w:hanging="426"/>
              <w:rPr>
                <w:rFonts w:cs="Arial"/>
                <w:sz w:val="22"/>
                <w:szCs w:val="22"/>
              </w:rPr>
            </w:pPr>
            <w:r w:rsidRPr="005D44C3">
              <w:rPr>
                <w:rFonts w:cs="Arial"/>
                <w:sz w:val="22"/>
                <w:szCs w:val="22"/>
              </w:rPr>
              <w:t>Chemikalienschutzanzug, z. B. Einweg-Overall Chemikalienschutz Typ 4B</w:t>
            </w:r>
          </w:p>
          <w:p w:rsidR="00A45F1C" w:rsidRPr="005D44C3" w:rsidRDefault="00A45F1C" w:rsidP="00A45F1C">
            <w:pPr>
              <w:numPr>
                <w:ilvl w:val="0"/>
                <w:numId w:val="1"/>
              </w:numPr>
              <w:tabs>
                <w:tab w:val="clear" w:pos="720"/>
                <w:tab w:val="num" w:pos="426"/>
              </w:tabs>
              <w:ind w:left="426" w:hanging="426"/>
              <w:rPr>
                <w:rFonts w:cs="Arial"/>
                <w:sz w:val="22"/>
                <w:szCs w:val="22"/>
              </w:rPr>
            </w:pPr>
            <w:r w:rsidRPr="005D44C3">
              <w:rPr>
                <w:rFonts w:cs="Arial"/>
                <w:sz w:val="22"/>
                <w:szCs w:val="22"/>
              </w:rPr>
              <w:t>Einweg-Schutzhandschuhe aus Nitril mit verlängertem Schaft</w:t>
            </w:r>
          </w:p>
          <w:p w:rsidR="00A45F1C" w:rsidRPr="00A45F1C" w:rsidRDefault="00A45F1C" w:rsidP="00A45F1C">
            <w:pPr>
              <w:numPr>
                <w:ilvl w:val="0"/>
                <w:numId w:val="1"/>
              </w:numPr>
              <w:tabs>
                <w:tab w:val="clear" w:pos="720"/>
                <w:tab w:val="num" w:pos="426"/>
              </w:tabs>
              <w:ind w:left="426" w:hanging="426"/>
              <w:rPr>
                <w:rFonts w:cs="Arial"/>
                <w:sz w:val="20"/>
              </w:rPr>
            </w:pPr>
            <w:r w:rsidRPr="005D44C3">
              <w:rPr>
                <w:rFonts w:cs="Arial"/>
                <w:sz w:val="22"/>
                <w:szCs w:val="22"/>
              </w:rPr>
              <w:t xml:space="preserve">geschlossene leicht zu reinigende </w:t>
            </w:r>
            <w:proofErr w:type="spellStart"/>
            <w:r w:rsidRPr="005D44C3">
              <w:rPr>
                <w:rFonts w:cs="Arial"/>
                <w:sz w:val="22"/>
                <w:szCs w:val="22"/>
              </w:rPr>
              <w:t>desinfizierbare</w:t>
            </w:r>
            <w:proofErr w:type="spellEnd"/>
            <w:r w:rsidRPr="005D44C3">
              <w:rPr>
                <w:rFonts w:cs="Arial"/>
                <w:sz w:val="22"/>
                <w:szCs w:val="22"/>
              </w:rPr>
              <w:t xml:space="preserve"> Schuhe oder Stiefel</w:t>
            </w:r>
            <w:r w:rsidR="00E76C46">
              <w:rPr>
                <w:rFonts w:cs="Arial"/>
                <w:sz w:val="22"/>
                <w:szCs w:val="22"/>
              </w:rPr>
              <w:br/>
            </w:r>
          </w:p>
        </w:tc>
        <w:tc>
          <w:tcPr>
            <w:tcW w:w="165" w:type="dxa"/>
            <w:tcBorders>
              <w:top w:val="nil"/>
              <w:left w:val="nil"/>
              <w:right w:val="nil"/>
            </w:tcBorders>
            <w:shd w:val="clear" w:color="auto" w:fill="008000"/>
            <w:noWrap/>
            <w:vAlign w:val="bottom"/>
          </w:tcPr>
          <w:p w:rsidR="00A45F1C" w:rsidRPr="00C17987" w:rsidRDefault="00A45F1C" w:rsidP="0002364E">
            <w:pPr>
              <w:rPr>
                <w:rFonts w:cs="Arial"/>
                <w:sz w:val="20"/>
              </w:rPr>
            </w:pPr>
          </w:p>
        </w:tc>
      </w:tr>
      <w:tr w:rsidR="00050947" w:rsidRPr="00C17987" w:rsidTr="00EF669E">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EF669E">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8C1A89" w:rsidRDefault="008C1A89" w:rsidP="008C1A89">
            <w:pPr>
              <w:ind w:left="360"/>
              <w:rPr>
                <w:rFonts w:cs="Arial"/>
                <w:sz w:val="20"/>
              </w:rPr>
            </w:pPr>
          </w:p>
          <w:p w:rsidR="0059414E" w:rsidRPr="005D44C3" w:rsidRDefault="0059414E" w:rsidP="0059414E">
            <w:pPr>
              <w:numPr>
                <w:ilvl w:val="0"/>
                <w:numId w:val="1"/>
              </w:numPr>
              <w:tabs>
                <w:tab w:val="clear" w:pos="720"/>
                <w:tab w:val="num" w:pos="426"/>
              </w:tabs>
              <w:ind w:left="426" w:hanging="426"/>
              <w:rPr>
                <w:rFonts w:cs="Arial"/>
                <w:sz w:val="22"/>
                <w:szCs w:val="22"/>
              </w:rPr>
            </w:pPr>
            <w:r w:rsidRPr="005D44C3">
              <w:rPr>
                <w:rFonts w:cs="Arial"/>
                <w:sz w:val="22"/>
                <w:szCs w:val="22"/>
              </w:rPr>
              <w:t>Beim Auftreten akuter Krankheitssymptome ist ein Arzt aufzusuchen mit dem Hinweis auf Kontakt zu möglichem infektiösem Material.</w:t>
            </w:r>
          </w:p>
          <w:p w:rsidR="0059414E" w:rsidRPr="0059414E" w:rsidRDefault="0059414E" w:rsidP="0059414E">
            <w:pPr>
              <w:numPr>
                <w:ilvl w:val="0"/>
                <w:numId w:val="1"/>
              </w:numPr>
              <w:tabs>
                <w:tab w:val="clear" w:pos="720"/>
                <w:tab w:val="num" w:pos="426"/>
              </w:tabs>
              <w:ind w:left="426" w:hanging="426"/>
              <w:rPr>
                <w:rFonts w:cs="Arial"/>
                <w:sz w:val="20"/>
              </w:rPr>
            </w:pPr>
            <w:r w:rsidRPr="005D44C3">
              <w:rPr>
                <w:rFonts w:cs="Arial"/>
                <w:sz w:val="22"/>
                <w:szCs w:val="22"/>
              </w:rPr>
              <w:t>Es wird empfohlen, die Beratung durch den Betriebsarzt bzw. die Arbeitsmedizinische Vorsorge zu nutzen.</w:t>
            </w:r>
            <w:r w:rsidR="008C1A89">
              <w:rPr>
                <w:rFonts w:cs="Arial"/>
                <w:sz w:val="20"/>
              </w:rPr>
              <w:br/>
            </w:r>
          </w:p>
          <w:p w:rsidR="0072651C" w:rsidRDefault="00A93AA3" w:rsidP="0002364E">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E76C46" w:rsidRPr="00C17987" w:rsidRDefault="00E76C46" w:rsidP="0002364E">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125B8D" w:rsidTr="00EF669E">
        <w:tblPrEx>
          <w:tblLook w:val="04A0" w:firstRow="1" w:lastRow="0" w:firstColumn="1" w:lastColumn="0" w:noHBand="0" w:noVBand="1"/>
        </w:tblPrEx>
        <w:trPr>
          <w:trHeight w:hRule="exact" w:val="397"/>
        </w:trPr>
        <w:tc>
          <w:tcPr>
            <w:tcW w:w="172" w:type="dxa"/>
            <w:shd w:val="clear" w:color="auto" w:fill="008000"/>
            <w:noWrap/>
            <w:vAlign w:val="bottom"/>
            <w:hideMark/>
          </w:tcPr>
          <w:p w:rsidR="00125B8D" w:rsidRDefault="00125B8D">
            <w:pPr>
              <w:rPr>
                <w:rFonts w:cs="Arial"/>
                <w:sz w:val="20"/>
              </w:rPr>
            </w:pPr>
            <w:r>
              <w:rPr>
                <w:rFonts w:cs="Arial"/>
                <w:sz w:val="20"/>
              </w:rPr>
              <w:t> </w:t>
            </w:r>
          </w:p>
        </w:tc>
        <w:tc>
          <w:tcPr>
            <w:tcW w:w="8010" w:type="dxa"/>
            <w:gridSpan w:val="8"/>
            <w:shd w:val="clear" w:color="auto" w:fill="008000"/>
            <w:noWrap/>
            <w:vAlign w:val="center"/>
            <w:hideMark/>
          </w:tcPr>
          <w:p w:rsidR="00125B8D" w:rsidRDefault="00125B8D">
            <w:pPr>
              <w:jc w:val="center"/>
              <w:rPr>
                <w:rFonts w:cs="Arial"/>
                <w:b/>
                <w:smallCaps/>
                <w:color w:val="FFFFFF"/>
                <w:szCs w:val="24"/>
              </w:rPr>
            </w:pPr>
            <w:r>
              <w:rPr>
                <w:rFonts w:cs="Arial"/>
                <w:b/>
                <w:smallCaps/>
                <w:color w:val="FFFFFF"/>
                <w:szCs w:val="24"/>
              </w:rPr>
              <w:t>Verhalten bei Unfällen, Erste Hilfe</w:t>
            </w:r>
          </w:p>
        </w:tc>
        <w:tc>
          <w:tcPr>
            <w:tcW w:w="2245" w:type="dxa"/>
            <w:gridSpan w:val="2"/>
            <w:shd w:val="clear" w:color="auto" w:fill="C00000"/>
            <w:vAlign w:val="center"/>
            <w:hideMark/>
          </w:tcPr>
          <w:p w:rsidR="00125B8D" w:rsidRDefault="00125B8D">
            <w:pPr>
              <w:jc w:val="center"/>
              <w:rPr>
                <w:rFonts w:cs="Arial"/>
                <w:b/>
                <w:color w:val="FFFFFF" w:themeColor="background1"/>
              </w:rPr>
            </w:pPr>
            <w:r>
              <w:rPr>
                <w:rFonts w:cs="Arial"/>
                <w:b/>
                <w:smallCaps/>
                <w:color w:val="FFFFFF"/>
                <w:szCs w:val="24"/>
              </w:rPr>
              <w:t>Notruf 112</w:t>
            </w:r>
          </w:p>
        </w:tc>
        <w:tc>
          <w:tcPr>
            <w:tcW w:w="165" w:type="dxa"/>
            <w:shd w:val="clear" w:color="auto" w:fill="008000"/>
            <w:noWrap/>
            <w:vAlign w:val="bottom"/>
            <w:hideMark/>
          </w:tcPr>
          <w:p w:rsidR="00125B8D" w:rsidRDefault="00125B8D">
            <w:pPr>
              <w:rPr>
                <w:rFonts w:cs="Arial"/>
                <w:sz w:val="20"/>
              </w:rPr>
            </w:pPr>
            <w:r>
              <w:rPr>
                <w:rFonts w:cs="Arial"/>
                <w:sz w:val="20"/>
              </w:rPr>
              <w:t> </w:t>
            </w:r>
          </w:p>
        </w:tc>
      </w:tr>
      <w:tr w:rsidR="0072651C" w:rsidRPr="00C17987" w:rsidTr="00EF669E">
        <w:trPr>
          <w:trHeight w:val="1044"/>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E76C46" w:rsidRDefault="00E76C46" w:rsidP="0002364E">
            <w:pPr>
              <w:rPr>
                <w:rFonts w:cs="Arial"/>
                <w:noProof/>
                <w:sz w:val="20"/>
              </w:rPr>
            </w:pPr>
          </w:p>
          <w:p w:rsidR="00E76C46" w:rsidRDefault="00E76C46" w:rsidP="0002364E">
            <w:pPr>
              <w:rPr>
                <w:rFonts w:cs="Arial"/>
                <w:noProof/>
                <w:sz w:val="20"/>
              </w:rPr>
            </w:pPr>
          </w:p>
          <w:p w:rsidR="0072651C" w:rsidRPr="00C17987" w:rsidRDefault="00A17376" w:rsidP="0002364E">
            <w:pPr>
              <w:rPr>
                <w:rFonts w:cs="Arial"/>
                <w:sz w:val="20"/>
              </w:rPr>
            </w:pPr>
            <w:r>
              <w:rPr>
                <w:rFonts w:cs="Arial"/>
                <w:noProof/>
                <w:sz w:val="20"/>
              </w:rPr>
              <w:drawing>
                <wp:inline distT="0" distB="0" distL="0" distR="0">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8C1A89" w:rsidRDefault="008C1A89" w:rsidP="008C1A89">
            <w:pPr>
              <w:autoSpaceDE w:val="0"/>
              <w:autoSpaceDN w:val="0"/>
              <w:adjustRightInd w:val="0"/>
              <w:ind w:left="360"/>
              <w:rPr>
                <w:rFonts w:cs="Arial"/>
                <w:sz w:val="20"/>
              </w:rPr>
            </w:pPr>
          </w:p>
          <w:p w:rsidR="0059414E" w:rsidRPr="005D44C3" w:rsidRDefault="0059414E" w:rsidP="004935A7">
            <w:pPr>
              <w:numPr>
                <w:ilvl w:val="0"/>
                <w:numId w:val="13"/>
              </w:numPr>
              <w:tabs>
                <w:tab w:val="clear" w:pos="720"/>
                <w:tab w:val="num" w:pos="356"/>
              </w:tabs>
              <w:autoSpaceDE w:val="0"/>
              <w:autoSpaceDN w:val="0"/>
              <w:adjustRightInd w:val="0"/>
              <w:ind w:left="356" w:hanging="356"/>
              <w:rPr>
                <w:rFonts w:cs="Arial"/>
                <w:sz w:val="22"/>
                <w:szCs w:val="22"/>
              </w:rPr>
            </w:pPr>
            <w:r w:rsidRPr="005D44C3">
              <w:rPr>
                <w:rFonts w:cs="Arial"/>
                <w:sz w:val="22"/>
                <w:szCs w:val="22"/>
              </w:rPr>
              <w:t xml:space="preserve">Verletzungen sind dem Verantwortlichen im Betrieb zu melden, in das Verbandbuch </w:t>
            </w:r>
            <w:r w:rsidR="004909BB">
              <w:rPr>
                <w:rFonts w:cs="Arial"/>
                <w:sz w:val="22"/>
                <w:szCs w:val="22"/>
              </w:rPr>
              <w:br/>
            </w:r>
            <w:bookmarkStart w:id="0" w:name="_GoBack"/>
            <w:bookmarkEnd w:id="0"/>
            <w:r w:rsidRPr="005D44C3">
              <w:rPr>
                <w:rFonts w:cs="Arial"/>
                <w:sz w:val="22"/>
                <w:szCs w:val="22"/>
              </w:rPr>
              <w:t>einzutragen und ggf. ist ein Arzt aufzusuchen.</w:t>
            </w:r>
          </w:p>
          <w:p w:rsidR="0059414E" w:rsidRPr="005D44C3" w:rsidRDefault="0059414E" w:rsidP="004935A7">
            <w:pPr>
              <w:numPr>
                <w:ilvl w:val="0"/>
                <w:numId w:val="13"/>
              </w:numPr>
              <w:tabs>
                <w:tab w:val="clear" w:pos="720"/>
                <w:tab w:val="num" w:pos="356"/>
              </w:tabs>
              <w:autoSpaceDE w:val="0"/>
              <w:autoSpaceDN w:val="0"/>
              <w:adjustRightInd w:val="0"/>
              <w:ind w:left="356" w:hanging="342"/>
              <w:rPr>
                <w:rFonts w:cs="Arial"/>
                <w:sz w:val="22"/>
                <w:szCs w:val="22"/>
              </w:rPr>
            </w:pPr>
            <w:r w:rsidRPr="005D44C3">
              <w:rPr>
                <w:rFonts w:cs="Arial"/>
                <w:sz w:val="22"/>
                <w:szCs w:val="22"/>
              </w:rPr>
              <w:t>Auch kleine Wunden sind sachgerecht zu behandeln.</w:t>
            </w:r>
          </w:p>
          <w:p w:rsidR="0059414E" w:rsidRPr="0059414E" w:rsidRDefault="0059414E" w:rsidP="004935A7">
            <w:pPr>
              <w:numPr>
                <w:ilvl w:val="0"/>
                <w:numId w:val="13"/>
              </w:numPr>
              <w:tabs>
                <w:tab w:val="clear" w:pos="720"/>
                <w:tab w:val="num" w:pos="356"/>
              </w:tabs>
              <w:autoSpaceDE w:val="0"/>
              <w:autoSpaceDN w:val="0"/>
              <w:adjustRightInd w:val="0"/>
              <w:ind w:left="356" w:hanging="342"/>
              <w:rPr>
                <w:rFonts w:cs="Arial"/>
                <w:sz w:val="20"/>
              </w:rPr>
            </w:pPr>
            <w:r w:rsidRPr="005D44C3">
              <w:rPr>
                <w:rFonts w:cs="Arial"/>
                <w:sz w:val="22"/>
                <w:szCs w:val="22"/>
              </w:rPr>
              <w:t>Die Wundversorgung muss außerhalb des kontaminierten Bereiches erfolgen.</w:t>
            </w:r>
            <w:r w:rsidR="008C1A89">
              <w:rPr>
                <w:rFonts w:cs="Arial"/>
                <w:sz w:val="20"/>
              </w:rPr>
              <w:br/>
            </w:r>
          </w:p>
          <w:p w:rsidR="00085AA9" w:rsidRDefault="00125B8D" w:rsidP="004935A7">
            <w:pPr>
              <w:tabs>
                <w:tab w:val="left" w:pos="214"/>
                <w:tab w:val="left" w:pos="1646"/>
                <w:tab w:val="left" w:pos="5591"/>
              </w:tabs>
              <w:ind w:left="214" w:hanging="186"/>
              <w:rPr>
                <w:rFonts w:cs="Arial"/>
                <w:b/>
                <w:szCs w:val="24"/>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p>
          <w:p w:rsidR="00E76C46" w:rsidRPr="00B32A0E" w:rsidRDefault="00E76C46" w:rsidP="004935A7">
            <w:pPr>
              <w:tabs>
                <w:tab w:val="left" w:pos="214"/>
                <w:tab w:val="left" w:pos="1646"/>
                <w:tab w:val="left" w:pos="5591"/>
              </w:tabs>
              <w:ind w:left="214" w:hanging="186"/>
              <w:rPr>
                <w:rFonts w:cs="Arial"/>
                <w:color w:val="FF0000"/>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EF669E">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EF669E">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auto"/>
            <w:noWrap/>
          </w:tcPr>
          <w:p w:rsidR="00E76C46" w:rsidRDefault="00E76C46" w:rsidP="00E76C46">
            <w:pPr>
              <w:autoSpaceDE w:val="0"/>
              <w:autoSpaceDN w:val="0"/>
              <w:adjustRightInd w:val="0"/>
              <w:ind w:left="360"/>
              <w:rPr>
                <w:rFonts w:cs="Arial"/>
                <w:sz w:val="22"/>
                <w:szCs w:val="22"/>
              </w:rPr>
            </w:pPr>
          </w:p>
          <w:p w:rsidR="0072651C" w:rsidRPr="005D44C3" w:rsidRDefault="0059414E" w:rsidP="005D44C3">
            <w:pPr>
              <w:numPr>
                <w:ilvl w:val="0"/>
                <w:numId w:val="13"/>
              </w:numPr>
              <w:tabs>
                <w:tab w:val="clear" w:pos="720"/>
                <w:tab w:val="num" w:pos="356"/>
              </w:tabs>
              <w:autoSpaceDE w:val="0"/>
              <w:autoSpaceDN w:val="0"/>
              <w:adjustRightInd w:val="0"/>
              <w:ind w:left="356" w:hanging="342"/>
              <w:rPr>
                <w:rFonts w:cs="Arial"/>
                <w:sz w:val="22"/>
                <w:szCs w:val="22"/>
              </w:rPr>
            </w:pPr>
            <w:r w:rsidRPr="005D44C3">
              <w:rPr>
                <w:rFonts w:cs="Arial"/>
                <w:sz w:val="22"/>
                <w:szCs w:val="22"/>
              </w:rPr>
              <w:t xml:space="preserve">PSA zum einmaligen Gebrauch (Feinstaubmaske, Einweg-Overall, Einweg-Schutzhandschuhe) </w:t>
            </w:r>
            <w:r w:rsidR="00E76C46">
              <w:rPr>
                <w:rFonts w:cs="Arial"/>
                <w:sz w:val="22"/>
                <w:szCs w:val="22"/>
              </w:rPr>
              <w:br/>
            </w:r>
            <w:r w:rsidRPr="005D44C3">
              <w:rPr>
                <w:rFonts w:cs="Arial"/>
                <w:sz w:val="22"/>
                <w:szCs w:val="22"/>
              </w:rPr>
              <w:t xml:space="preserve">ist in dicht schließenden Behältern zu entsorgen. Nach BGI 892 müssen der aufgenommene </w:t>
            </w:r>
            <w:r w:rsidR="00E76C46">
              <w:rPr>
                <w:rFonts w:cs="Arial"/>
                <w:sz w:val="22"/>
                <w:szCs w:val="22"/>
              </w:rPr>
              <w:br/>
            </w:r>
            <w:r w:rsidRPr="005D44C3">
              <w:rPr>
                <w:rFonts w:cs="Arial"/>
                <w:sz w:val="22"/>
                <w:szCs w:val="22"/>
              </w:rPr>
              <w:t xml:space="preserve">Taubenkot sowie die Filterpatronen der Sauggeräte in stabilen, dicht schließenden Behältern </w:t>
            </w:r>
            <w:r w:rsidR="00E76C46">
              <w:rPr>
                <w:rFonts w:cs="Arial"/>
                <w:sz w:val="22"/>
                <w:szCs w:val="22"/>
              </w:rPr>
              <w:br/>
            </w:r>
            <w:r w:rsidRPr="005D44C3">
              <w:rPr>
                <w:rFonts w:cs="Arial"/>
                <w:sz w:val="22"/>
                <w:szCs w:val="22"/>
              </w:rPr>
              <w:t>(z.</w:t>
            </w:r>
            <w:r w:rsidR="004935A7" w:rsidRPr="005D44C3">
              <w:rPr>
                <w:rFonts w:cs="Arial"/>
                <w:sz w:val="22"/>
                <w:szCs w:val="22"/>
              </w:rPr>
              <w:t xml:space="preserve"> </w:t>
            </w:r>
            <w:r w:rsidRPr="005D44C3">
              <w:rPr>
                <w:rFonts w:cs="Arial"/>
                <w:sz w:val="22"/>
                <w:szCs w:val="22"/>
              </w:rPr>
              <w:t>B. Spannringfässer) gelagert werden; die Verwendung von Plastikbeuteln ist für diesen Zweck nicht geeignet. Bei der Entnahme der Filterpatronen sind die Hinweise des Herstellers zu beachten. Die Freisetzung von Stäuben ist dabei zu unterbinden. Gleiches gilt für die Reinigung verstopfter Ansaugrohre (BGI 892).</w:t>
            </w:r>
          </w:p>
          <w:p w:rsidR="008C1A89" w:rsidRPr="0059414E" w:rsidRDefault="008C1A89" w:rsidP="0059414E">
            <w:pPr>
              <w:autoSpaceDE w:val="0"/>
              <w:autoSpaceDN w:val="0"/>
              <w:adjustRightInd w:val="0"/>
              <w:rPr>
                <w:rFonts w:cs="Arial"/>
                <w:sz w:val="20"/>
              </w:rPr>
            </w:pPr>
          </w:p>
        </w:tc>
        <w:tc>
          <w:tcPr>
            <w:tcW w:w="165"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EF669E" w:rsidRPr="00F76B17" w:rsidTr="00EF669E">
        <w:trPr>
          <w:trHeight w:val="397"/>
        </w:trPr>
        <w:tc>
          <w:tcPr>
            <w:tcW w:w="172" w:type="dxa"/>
            <w:tcBorders>
              <w:top w:val="nil"/>
              <w:left w:val="nil"/>
              <w:bottom w:val="nil"/>
              <w:right w:val="nil"/>
            </w:tcBorders>
            <w:shd w:val="clear" w:color="auto" w:fill="008000"/>
            <w:noWrap/>
            <w:vAlign w:val="bottom"/>
          </w:tcPr>
          <w:p w:rsidR="00EF669E" w:rsidRPr="00F76B17" w:rsidRDefault="00EF669E"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EF669E" w:rsidRPr="00F76B17" w:rsidRDefault="00EF669E"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EF669E" w:rsidRPr="00F76B17" w:rsidRDefault="00EF669E" w:rsidP="00925676">
            <w:pPr>
              <w:rPr>
                <w:rFonts w:cs="Arial"/>
                <w:sz w:val="20"/>
              </w:rPr>
            </w:pPr>
            <w:r w:rsidRPr="00F76B17">
              <w:rPr>
                <w:rFonts w:cs="Arial"/>
                <w:sz w:val="20"/>
              </w:rPr>
              <w:t> </w:t>
            </w:r>
          </w:p>
        </w:tc>
      </w:tr>
      <w:tr w:rsidR="00EF669E" w:rsidRPr="00F76B17" w:rsidTr="00EF669E">
        <w:trPr>
          <w:trHeight w:val="679"/>
        </w:trPr>
        <w:tc>
          <w:tcPr>
            <w:tcW w:w="172" w:type="dxa"/>
            <w:tcBorders>
              <w:top w:val="nil"/>
              <w:left w:val="nil"/>
              <w:bottom w:val="nil"/>
              <w:right w:val="nil"/>
            </w:tcBorders>
            <w:shd w:val="clear" w:color="auto" w:fill="008000"/>
            <w:noWrap/>
            <w:vAlign w:val="bottom"/>
          </w:tcPr>
          <w:p w:rsidR="00EF669E" w:rsidRPr="00F76B17" w:rsidRDefault="00EF669E" w:rsidP="00925676">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EF669E" w:rsidRPr="00EC70E1" w:rsidTr="00925676">
              <w:tc>
                <w:tcPr>
                  <w:tcW w:w="6334" w:type="dxa"/>
                  <w:tcBorders>
                    <w:top w:val="nil"/>
                    <w:left w:val="nil"/>
                    <w:bottom w:val="nil"/>
                    <w:right w:val="nil"/>
                  </w:tcBorders>
                </w:tcPr>
                <w:p w:rsidR="00EF669E" w:rsidRPr="0001190C" w:rsidRDefault="00EF669E"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EF669E" w:rsidRDefault="00EF669E"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EF669E" w:rsidRPr="00EC70E1" w:rsidRDefault="00EF669E"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EF669E" w:rsidRPr="00AD73C9" w:rsidTr="00925676">
              <w:tc>
                <w:tcPr>
                  <w:tcW w:w="11888" w:type="dxa"/>
                  <w:gridSpan w:val="2"/>
                  <w:tcBorders>
                    <w:top w:val="nil"/>
                    <w:left w:val="nil"/>
                    <w:bottom w:val="nil"/>
                    <w:right w:val="nil"/>
                  </w:tcBorders>
                  <w:vAlign w:val="bottom"/>
                </w:tcPr>
                <w:p w:rsidR="00EF669E" w:rsidRPr="00AD73C9" w:rsidRDefault="00EF669E"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EF669E" w:rsidRDefault="00EF669E" w:rsidP="00925676">
            <w:pPr>
              <w:tabs>
                <w:tab w:val="left" w:pos="3675"/>
              </w:tabs>
              <w:rPr>
                <w:rFonts w:cs="Arial"/>
              </w:rPr>
            </w:pPr>
          </w:p>
        </w:tc>
        <w:tc>
          <w:tcPr>
            <w:tcW w:w="165" w:type="dxa"/>
            <w:tcBorders>
              <w:top w:val="nil"/>
              <w:left w:val="nil"/>
              <w:bottom w:val="nil"/>
              <w:right w:val="nil"/>
            </w:tcBorders>
            <w:shd w:val="clear" w:color="auto" w:fill="008000"/>
            <w:noWrap/>
            <w:vAlign w:val="bottom"/>
          </w:tcPr>
          <w:p w:rsidR="00EF669E" w:rsidRPr="00F76B17" w:rsidRDefault="00EF669E" w:rsidP="00925676">
            <w:pPr>
              <w:rPr>
                <w:rFonts w:cs="Arial"/>
                <w:sz w:val="20"/>
              </w:rPr>
            </w:pPr>
            <w:r w:rsidRPr="00F76B17">
              <w:rPr>
                <w:rFonts w:cs="Arial"/>
                <w:sz w:val="20"/>
              </w:rPr>
              <w:tab/>
            </w:r>
          </w:p>
        </w:tc>
      </w:tr>
      <w:tr w:rsidR="00EF669E" w:rsidRPr="00F76B17" w:rsidTr="00EF669E">
        <w:trPr>
          <w:trHeight w:hRule="exact" w:val="248"/>
        </w:trPr>
        <w:tc>
          <w:tcPr>
            <w:tcW w:w="172" w:type="dxa"/>
            <w:tcBorders>
              <w:top w:val="nil"/>
              <w:left w:val="nil"/>
              <w:bottom w:val="nil"/>
              <w:right w:val="nil"/>
            </w:tcBorders>
            <w:shd w:val="clear" w:color="auto" w:fill="008000"/>
            <w:noWrap/>
            <w:vAlign w:val="bottom"/>
          </w:tcPr>
          <w:p w:rsidR="00EF669E" w:rsidRPr="00F76B17" w:rsidRDefault="00EF669E"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EF669E" w:rsidRPr="00F76B17" w:rsidRDefault="00EF669E"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EF669E" w:rsidRPr="00F76B17" w:rsidRDefault="00EF669E" w:rsidP="00925676">
            <w:pPr>
              <w:rPr>
                <w:rFonts w:cs="Arial"/>
                <w:sz w:val="20"/>
              </w:rPr>
            </w:pPr>
            <w:r w:rsidRPr="00F76B17">
              <w:rPr>
                <w:rFonts w:cs="Arial"/>
                <w:sz w:val="20"/>
              </w:rPr>
              <w:t> </w:t>
            </w:r>
          </w:p>
        </w:tc>
      </w:tr>
    </w:tbl>
    <w:p w:rsidR="007539EB" w:rsidRPr="007539EB" w:rsidRDefault="007539EB" w:rsidP="007539EB">
      <w:pPr>
        <w:rPr>
          <w:sz w:val="20"/>
        </w:rPr>
      </w:pPr>
    </w:p>
    <w:p w:rsidR="007539EB" w:rsidRPr="007539EB" w:rsidRDefault="007539EB" w:rsidP="007539EB">
      <w:pPr>
        <w:jc w:val="center"/>
        <w:rPr>
          <w:sz w:val="12"/>
          <w:szCs w:val="12"/>
        </w:rPr>
      </w:pPr>
      <w:r w:rsidRPr="007539EB">
        <w:rPr>
          <w:sz w:val="12"/>
          <w:szCs w:val="12"/>
        </w:rPr>
        <w:t>Informationen beispielhaft zusammengestellt von der Sozialversicherung für Landwirtschaft, Forsten und Gartenbau (SVLFG) Stand: 0</w:t>
      </w:r>
      <w:r w:rsidR="005D44C3">
        <w:rPr>
          <w:sz w:val="12"/>
          <w:szCs w:val="12"/>
        </w:rPr>
        <w:t>8</w:t>
      </w:r>
      <w:r w:rsidRPr="007539EB">
        <w:rPr>
          <w:sz w:val="12"/>
          <w:szCs w:val="12"/>
        </w:rPr>
        <w:t>/2023</w:t>
      </w:r>
    </w:p>
    <w:p w:rsidR="00C17987" w:rsidRPr="00C17987" w:rsidRDefault="00C17987" w:rsidP="0002364E">
      <w:pPr>
        <w:rPr>
          <w:sz w:val="20"/>
        </w:rPr>
      </w:pPr>
    </w:p>
    <w:sectPr w:rsidR="00C17987" w:rsidRPr="00C17987" w:rsidSect="00D77095">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57D" w:rsidRDefault="008D757D">
      <w:r>
        <w:separator/>
      </w:r>
    </w:p>
  </w:endnote>
  <w:endnote w:type="continuationSeparator" w:id="0">
    <w:p w:rsidR="008D757D" w:rsidRDefault="008D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70" w:rsidRDefault="00605070" w:rsidP="007136F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05070" w:rsidRDefault="00605070" w:rsidP="00456A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70" w:rsidRPr="00456A77" w:rsidRDefault="00605070" w:rsidP="00456A77">
    <w:pPr>
      <w:pStyle w:val="Fuzeile"/>
      <w:ind w:right="36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57D" w:rsidRDefault="008D757D">
      <w:r>
        <w:separator/>
      </w:r>
    </w:p>
  </w:footnote>
  <w:footnote w:type="continuationSeparator" w:id="0">
    <w:p w:rsidR="008D757D" w:rsidRDefault="008D7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F0E8845E"/>
    <w:lvl w:ilvl="0" w:tplc="8EEEB62A">
      <w:start w:val="1"/>
      <w:numFmt w:val="bullet"/>
      <w:lvlText w:val=""/>
      <w:lvlJc w:val="left"/>
      <w:pPr>
        <w:tabs>
          <w:tab w:val="num" w:pos="720"/>
        </w:tabs>
        <w:ind w:left="720" w:hanging="360"/>
      </w:pPr>
      <w:rPr>
        <w:rFonts w:ascii="Symbol" w:hAnsi="Symbol"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73638"/>
    <w:multiLevelType w:val="hybridMultilevel"/>
    <w:tmpl w:val="98186D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5FFC1480"/>
    <w:multiLevelType w:val="hybridMultilevel"/>
    <w:tmpl w:val="41C8EC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5B58C0"/>
    <w:multiLevelType w:val="hybridMultilevel"/>
    <w:tmpl w:val="079436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CF3033"/>
    <w:multiLevelType w:val="hybridMultilevel"/>
    <w:tmpl w:val="89E22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3"/>
  </w:num>
  <w:num w:numId="4">
    <w:abstractNumId w:val="7"/>
  </w:num>
  <w:num w:numId="5">
    <w:abstractNumId w:val="12"/>
  </w:num>
  <w:num w:numId="6">
    <w:abstractNumId w:val="4"/>
  </w:num>
  <w:num w:numId="7">
    <w:abstractNumId w:val="2"/>
  </w:num>
  <w:num w:numId="8">
    <w:abstractNumId w:val="13"/>
  </w:num>
  <w:num w:numId="9">
    <w:abstractNumId w:val="6"/>
  </w:num>
  <w:num w:numId="10">
    <w:abstractNumId w:val="1"/>
  </w:num>
  <w:num w:numId="11">
    <w:abstractNumId w:val="5"/>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364E"/>
    <w:rsid w:val="00050947"/>
    <w:rsid w:val="00067A91"/>
    <w:rsid w:val="00067DBA"/>
    <w:rsid w:val="00085AA9"/>
    <w:rsid w:val="00085FB7"/>
    <w:rsid w:val="000A6031"/>
    <w:rsid w:val="000B1164"/>
    <w:rsid w:val="000C0690"/>
    <w:rsid w:val="000D47C5"/>
    <w:rsid w:val="00125B8D"/>
    <w:rsid w:val="001D1990"/>
    <w:rsid w:val="001E36D6"/>
    <w:rsid w:val="001E7CDC"/>
    <w:rsid w:val="001F5B94"/>
    <w:rsid w:val="00213F21"/>
    <w:rsid w:val="00285F7C"/>
    <w:rsid w:val="002C19B5"/>
    <w:rsid w:val="003071EA"/>
    <w:rsid w:val="00350694"/>
    <w:rsid w:val="00384857"/>
    <w:rsid w:val="003E55DB"/>
    <w:rsid w:val="004003D3"/>
    <w:rsid w:val="00410BAB"/>
    <w:rsid w:val="00412DAE"/>
    <w:rsid w:val="00425BF8"/>
    <w:rsid w:val="004407FF"/>
    <w:rsid w:val="0045241F"/>
    <w:rsid w:val="00456A77"/>
    <w:rsid w:val="00461394"/>
    <w:rsid w:val="00480345"/>
    <w:rsid w:val="00484F2D"/>
    <w:rsid w:val="004909BB"/>
    <w:rsid w:val="004935A7"/>
    <w:rsid w:val="0049794A"/>
    <w:rsid w:val="0059414E"/>
    <w:rsid w:val="005D42F2"/>
    <w:rsid w:val="005D44C3"/>
    <w:rsid w:val="005E63D2"/>
    <w:rsid w:val="00605070"/>
    <w:rsid w:val="0064376A"/>
    <w:rsid w:val="006606A0"/>
    <w:rsid w:val="00684FB6"/>
    <w:rsid w:val="006A1BFC"/>
    <w:rsid w:val="006A1F4F"/>
    <w:rsid w:val="006C10CC"/>
    <w:rsid w:val="007136FF"/>
    <w:rsid w:val="00716E93"/>
    <w:rsid w:val="0072651C"/>
    <w:rsid w:val="00737A0D"/>
    <w:rsid w:val="0074502C"/>
    <w:rsid w:val="007539EB"/>
    <w:rsid w:val="00772EC6"/>
    <w:rsid w:val="007B29F8"/>
    <w:rsid w:val="00870A59"/>
    <w:rsid w:val="008C0B1F"/>
    <w:rsid w:val="008C1A89"/>
    <w:rsid w:val="008D757D"/>
    <w:rsid w:val="008E2BB3"/>
    <w:rsid w:val="008F1F67"/>
    <w:rsid w:val="0092403E"/>
    <w:rsid w:val="009A5B2D"/>
    <w:rsid w:val="009B674F"/>
    <w:rsid w:val="009C4638"/>
    <w:rsid w:val="00A17376"/>
    <w:rsid w:val="00A22881"/>
    <w:rsid w:val="00A374D5"/>
    <w:rsid w:val="00A45F1C"/>
    <w:rsid w:val="00A93AA3"/>
    <w:rsid w:val="00AE6068"/>
    <w:rsid w:val="00B23EA7"/>
    <w:rsid w:val="00B32A0E"/>
    <w:rsid w:val="00B65DF4"/>
    <w:rsid w:val="00B74E61"/>
    <w:rsid w:val="00BA0811"/>
    <w:rsid w:val="00BF1D7F"/>
    <w:rsid w:val="00BF4EA3"/>
    <w:rsid w:val="00C17987"/>
    <w:rsid w:val="00C17A88"/>
    <w:rsid w:val="00C31BDD"/>
    <w:rsid w:val="00C33065"/>
    <w:rsid w:val="00C471BA"/>
    <w:rsid w:val="00CA5E3B"/>
    <w:rsid w:val="00CB7B27"/>
    <w:rsid w:val="00CD3F08"/>
    <w:rsid w:val="00CE4E26"/>
    <w:rsid w:val="00D00D3F"/>
    <w:rsid w:val="00D11F7B"/>
    <w:rsid w:val="00D77095"/>
    <w:rsid w:val="00DB4519"/>
    <w:rsid w:val="00DF7B60"/>
    <w:rsid w:val="00E76C46"/>
    <w:rsid w:val="00E845BE"/>
    <w:rsid w:val="00E8701F"/>
    <w:rsid w:val="00E92D70"/>
    <w:rsid w:val="00EA4687"/>
    <w:rsid w:val="00EF669E"/>
    <w:rsid w:val="00F32921"/>
    <w:rsid w:val="00F578ED"/>
    <w:rsid w:val="00F9007C"/>
    <w:rsid w:val="00FB40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03698"/>
  <w15:chartTrackingRefBased/>
  <w15:docId w15:val="{654A6F00-1234-4D27-8AEC-AB8867A9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A45F1C"/>
    <w:pPr>
      <w:tabs>
        <w:tab w:val="center" w:pos="4536"/>
        <w:tab w:val="right" w:pos="9072"/>
      </w:tabs>
    </w:pPr>
  </w:style>
  <w:style w:type="paragraph" w:styleId="Fuzeile">
    <w:name w:val="footer"/>
    <w:basedOn w:val="Standard"/>
    <w:rsid w:val="00A45F1C"/>
    <w:pPr>
      <w:tabs>
        <w:tab w:val="center" w:pos="4536"/>
        <w:tab w:val="right" w:pos="9072"/>
      </w:tabs>
    </w:pPr>
  </w:style>
  <w:style w:type="character" w:styleId="Seitenzahl">
    <w:name w:val="page number"/>
    <w:basedOn w:val="Absatz-Standardschriftart"/>
    <w:rsid w:val="00456A77"/>
  </w:style>
  <w:style w:type="paragraph" w:styleId="Listenabsatz">
    <w:name w:val="List Paragraph"/>
    <w:basedOn w:val="Standard"/>
    <w:uiPriority w:val="34"/>
    <w:qFormat/>
    <w:rsid w:val="008C0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295984123">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4974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Betriebsanweisung Biologische Arbeitsstoffe Reinigungsarbeiten an und in Gebaeuden</vt:lpstr>
    </vt:vector>
  </TitlesOfParts>
  <Company>Landwirtschaftliche Sozialversicherungsträger</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Reinigungsarbeiten an und in Gebaeuden</dc:title>
  <dc:subject/>
  <dc:creator>u400085</dc:creator>
  <cp:keywords/>
  <dc:description/>
  <cp:lastModifiedBy>Huber, Michael</cp:lastModifiedBy>
  <cp:revision>10</cp:revision>
  <cp:lastPrinted>2012-08-15T09:54:00Z</cp:lastPrinted>
  <dcterms:created xsi:type="dcterms:W3CDTF">2023-01-25T09:49:00Z</dcterms:created>
  <dcterms:modified xsi:type="dcterms:W3CDTF">2023-08-10T06:12:00Z</dcterms:modified>
</cp:coreProperties>
</file>