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627606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021664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4003D3" w:rsidRDefault="00021664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EA9" w:rsidRPr="004003D3" w:rsidRDefault="00021664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Zakład: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021664" w:rsidP="004B663D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>Instrukcj</w:t>
            </w:r>
            <w:r w:rsidR="004B663D">
              <w:rPr>
                <w:rFonts w:cs="Arial"/>
                <w:b/>
                <w:bCs/>
                <w:sz w:val="40"/>
                <w:szCs w:val="40"/>
                <w:lang w:val="pl-PL"/>
              </w:rPr>
              <w:t>a</w:t>
            </w: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 xml:space="preserve"> obsługi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EA9" w:rsidRPr="004003D3" w:rsidRDefault="00021664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Data: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9A750B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021664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Obszar roboczy:</w:t>
            </w:r>
          </w:p>
          <w:p w:rsidR="009A349C" w:rsidRPr="004003D3" w:rsidRDefault="00021664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Dojarnia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021664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Czynność:</w:t>
            </w:r>
            <w:r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pl-PL"/>
              </w:rPr>
              <w:t>Dój krów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021664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Podpis: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021664">
        <w:trPr>
          <w:trHeight w:val="88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9A750B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021664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NAZWA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3A66AA" w:rsidRPr="00F578ED" w:rsidRDefault="00021664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pl-PL"/>
              </w:rPr>
              <w:t>Praca w hali udojowej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3A66AA" w:rsidRDefault="009A750B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021664">
        <w:trPr>
          <w:trHeight w:hRule="exact" w:val="69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3A66AA" w:rsidRDefault="009A750B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021664" w:rsidP="005557BE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ZAGROŻENIA DLA </w:t>
            </w:r>
            <w:r w:rsidR="005557BE">
              <w:rPr>
                <w:rFonts w:cs="Arial"/>
                <w:b/>
                <w:bCs/>
                <w:color w:val="FFFFFF"/>
                <w:szCs w:val="24"/>
                <w:lang w:val="pl-PL"/>
              </w:rPr>
              <w:t>LUDZI</w:t>
            </w: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 I ŚRODOWISKA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021664">
        <w:trPr>
          <w:trHeight w:val="1893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021664" w:rsidP="0039136D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266700</wp:posOffset>
                  </wp:positionV>
                  <wp:extent cx="720000" cy="630000"/>
                  <wp:effectExtent l="0" t="0" r="4445" b="0"/>
                  <wp:wrapTight wrapText="bothSides">
                    <wp:wrapPolygon edited="0">
                      <wp:start x="0" y="0"/>
                      <wp:lineTo x="0" y="20903"/>
                      <wp:lineTo x="21162" y="20903"/>
                      <wp:lineTo x="21162" y="0"/>
                      <wp:lineTo x="0" y="0"/>
                    </wp:wrapPolygon>
                  </wp:wrapTight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5F0774" w:rsidRDefault="009A750B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021664" w:rsidP="00021664">
            <w:pPr>
              <w:pStyle w:val="Listenabsatz"/>
              <w:numPr>
                <w:ilvl w:val="0"/>
                <w:numId w:val="1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Niebezpieczeństwo poślizgu z powodu wilgotnych i gładkich podłóg.</w:t>
            </w:r>
          </w:p>
          <w:p w:rsidR="009E5714" w:rsidRDefault="00021664" w:rsidP="00021664">
            <w:pPr>
              <w:pStyle w:val="Listenabsatz"/>
              <w:numPr>
                <w:ilvl w:val="0"/>
                <w:numId w:val="1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Niebezpieczeństwo upadku przy wchodzeniu po schodach dojarni.</w:t>
            </w:r>
          </w:p>
          <w:p w:rsidR="009E5714" w:rsidRDefault="00021664" w:rsidP="00021664">
            <w:pPr>
              <w:pStyle w:val="Listenabsatz"/>
              <w:numPr>
                <w:ilvl w:val="0"/>
                <w:numId w:val="1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Kopane lub pchane przez krowy.</w:t>
            </w:r>
          </w:p>
          <w:p w:rsidR="009E5714" w:rsidRDefault="00021664" w:rsidP="00021664">
            <w:pPr>
              <w:pStyle w:val="Listenabsatz"/>
              <w:numPr>
                <w:ilvl w:val="0"/>
                <w:numId w:val="1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Zagrożenie ze strony instalacji elektrycznych.</w:t>
            </w:r>
          </w:p>
          <w:p w:rsidR="009E5714" w:rsidRDefault="00021664" w:rsidP="00021664">
            <w:pPr>
              <w:pStyle w:val="Listenabsatz"/>
              <w:numPr>
                <w:ilvl w:val="0"/>
                <w:numId w:val="1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Niebezpieczeństwo związane z substancjami niebezpiecznymi (detergenty/środki odkażające).</w:t>
            </w:r>
          </w:p>
          <w:p w:rsidR="00050947" w:rsidRDefault="00021664" w:rsidP="00021664">
            <w:pPr>
              <w:pStyle w:val="Listenabsatz"/>
              <w:numPr>
                <w:ilvl w:val="0"/>
                <w:numId w:val="1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Zagrożenie ze strony wilgotnego miejsca pracy.</w:t>
            </w:r>
          </w:p>
          <w:p w:rsidR="00183D2B" w:rsidRPr="005F0774" w:rsidRDefault="009A750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021664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228600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21664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ŚRODKI OCHRONNE I ZASADY POSTĘPOWANIA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21664" w:rsidP="002F1ECC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895455</wp:posOffset>
                  </wp:positionV>
                  <wp:extent cx="719455" cy="719455"/>
                  <wp:effectExtent l="0" t="0" r="4445" b="4445"/>
                  <wp:wrapSquare wrapText="bothSides"/>
                  <wp:docPr id="6" name="Grafik 6" descr="F:\svlfg\400_Praevention\401_GuQ\02_Allgemein\70_Medien\15_Symbole\ASR A1.3\Gebotszeichen\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vlfg\400_Praevention\401_GuQ\02_Allgemein\70_Medien\15_Symbole\ASR A1.3\Gebotszeichen\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127740</wp:posOffset>
                  </wp:positionV>
                  <wp:extent cx="719455" cy="719455"/>
                  <wp:effectExtent l="0" t="0" r="4445" b="4445"/>
                  <wp:wrapSquare wrapText="bothSides"/>
                  <wp:docPr id="10" name="Grafik 10" descr="F:\svlfg\400_Praevention\401_GuQ\02_Allgemein\70_Medien\15_Symbole\ASR A1.3\Gebotszeichen\m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1660630</wp:posOffset>
                  </wp:positionV>
                  <wp:extent cx="719455" cy="719455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5F0774" w:rsidRDefault="009A750B">
            <w:pPr>
              <w:rPr>
                <w:rFonts w:cs="Arial"/>
                <w:sz w:val="10"/>
                <w:szCs w:val="10"/>
              </w:rPr>
            </w:pPr>
          </w:p>
          <w:p w:rsidR="000B3833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Stosować antypoślizgowe wykładziny podłogowe i utrzymywać je w czystości.</w:t>
            </w:r>
          </w:p>
          <w:p w:rsidR="00050947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Nosić buty ochronne (S3/S5).</w:t>
            </w:r>
          </w:p>
          <w:p w:rsidR="003666C9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Zamontować stopnie antypoślizgowe i w odpowiednim czasie wymienić zużyte bieżniki. W przypadku nowych budynków można ewentualnie zaplanować wejście do dojarni na poziomie gruntu.</w:t>
            </w:r>
          </w:p>
          <w:p w:rsidR="004647D2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Przy obchodzeniu się z bydłem należy używać wyłącznie osób przeszkolonych i poinstruowanych.</w:t>
            </w:r>
          </w:p>
          <w:p w:rsidR="003666C9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Ukierunkowane i ostrożne podejście do krów przed dotknięciem wymienia. Użyć pomocy dla niespokojnych krów (np. łuk uderzeniowy).</w:t>
            </w:r>
          </w:p>
          <w:p w:rsidR="00B45650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Drogi ewakuacyjne należy utrzymywać wolne.</w:t>
            </w:r>
          </w:p>
          <w:p w:rsidR="003666C9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Instalacja elektryczna powinna być regularnie kontrolowana przez specjalistę. Regularnie sprawdzać działanie  wyłącznika przeciwporażeniowego (30 mA) (nacisnąć przycisk testowy). Dotyczy kompletnych obwodów gniazdowych.</w:t>
            </w:r>
          </w:p>
          <w:p w:rsidR="00D244F8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Podczas pracy z substancjami niebezpiecznymi należy stosować środki ochrony osobistej zgodnie z kartą charakterystyki substancji niebezpiecznych producenta. </w:t>
            </w:r>
          </w:p>
          <w:p w:rsidR="00DB5141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Nosić przyjazne dla skóry rękawice udojowe (np. z nitrylu). Nosić gumowy fartuch.</w:t>
            </w:r>
          </w:p>
          <w:p w:rsidR="00050947" w:rsidRDefault="00021664" w:rsidP="00021664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Zapewnić i stosować produkty do oczyszczania i pielęgnacji skóry.</w:t>
            </w:r>
          </w:p>
          <w:p w:rsidR="00183D2B" w:rsidRPr="005F0774" w:rsidRDefault="009A750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21664" w:rsidP="00567284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897890</wp:posOffset>
                  </wp:positionV>
                  <wp:extent cx="719455" cy="719455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132185</wp:posOffset>
                  </wp:positionV>
                  <wp:extent cx="719455" cy="719455"/>
                  <wp:effectExtent l="0" t="0" r="4445" b="4445"/>
                  <wp:wrapSquare wrapText="bothSides"/>
                  <wp:docPr id="13" name="Grafik 13" descr="F:\svlfg\400_Praevention\401_GuQ\02_Allgemein\70_Medien\15_Symbole\ASR A1.3\Gebotszeichen\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svlfg\400_Praevention\401_GuQ\02_Allgemein\70_Medien\15_Symbole\ASR A1.3\Gebotszeichen\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21664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POSTĘPOWANIE PRZY ZAKŁÓCENIACH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9A750B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9A750B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021664" w:rsidP="00021664">
            <w:pPr>
              <w:pStyle w:val="Listenabsatz"/>
              <w:numPr>
                <w:ilvl w:val="0"/>
                <w:numId w:val="3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Naprawić uszkodzone urządzenia konstrukcyjne lub zgłosić potrzebę. </w:t>
            </w:r>
          </w:p>
          <w:p w:rsidR="00050947" w:rsidRDefault="00021664" w:rsidP="00021664">
            <w:pPr>
              <w:pStyle w:val="Listenabsatz"/>
              <w:numPr>
                <w:ilvl w:val="0"/>
                <w:numId w:val="3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W przypadku awarii instalacji elektrycznej należy skontaktować się z firmą specjalistyczną.</w:t>
            </w:r>
          </w:p>
          <w:p w:rsidR="00183D2B" w:rsidRPr="005F0774" w:rsidRDefault="009A750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9A750B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21664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POSTĘPOWANIE PRZY WYPADKACH - PIERWSZA POMOC - TELEFON ALARMOWY 112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21664" w:rsidP="006234DD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53671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9A750B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021664" w:rsidP="00021664">
            <w:pPr>
              <w:pStyle w:val="Listenabsatz"/>
              <w:numPr>
                <w:ilvl w:val="0"/>
                <w:numId w:val="4"/>
              </w:numPr>
              <w:ind w:left="451"/>
              <w:rPr>
                <w:rFonts w:cs="Arial"/>
                <w:sz w:val="20"/>
              </w:rPr>
            </w:pPr>
            <w:bookmarkStart w:id="0" w:name="_GoBack"/>
            <w:r>
              <w:rPr>
                <w:rFonts w:cs="Arial"/>
                <w:sz w:val="20"/>
                <w:lang w:val="pl-PL"/>
              </w:rPr>
              <w:t>Natychmiastowe środki</w:t>
            </w:r>
            <w:bookmarkEnd w:id="0"/>
            <w:r>
              <w:rPr>
                <w:rFonts w:cs="Arial"/>
                <w:sz w:val="20"/>
                <w:lang w:val="pl-PL"/>
              </w:rPr>
              <w:t>, które należy podjąć na miejscu wypadku!</w:t>
            </w:r>
          </w:p>
          <w:p w:rsidR="00B45650" w:rsidRDefault="00021664" w:rsidP="00E77042">
            <w:pPr>
              <w:pStyle w:val="Listenabsatz"/>
              <w:numPr>
                <w:ilvl w:val="0"/>
                <w:numId w:val="4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Zadzwonić </w:t>
            </w:r>
            <w:r w:rsidR="00E77042">
              <w:rPr>
                <w:rFonts w:cs="Arial"/>
                <w:sz w:val="20"/>
                <w:lang w:val="pl-PL"/>
              </w:rPr>
              <w:t xml:space="preserve">do </w:t>
            </w:r>
            <w:r>
              <w:rPr>
                <w:rFonts w:cs="Arial"/>
                <w:sz w:val="20"/>
                <w:lang w:val="pl-PL"/>
              </w:rPr>
              <w:t>pogotowi</w:t>
            </w:r>
            <w:r w:rsidR="00E77042">
              <w:rPr>
                <w:rFonts w:cs="Arial"/>
                <w:sz w:val="20"/>
                <w:lang w:val="pl-PL"/>
              </w:rPr>
              <w:t>a</w:t>
            </w:r>
            <w:r>
              <w:rPr>
                <w:rFonts w:cs="Arial"/>
                <w:sz w:val="20"/>
                <w:lang w:val="pl-PL"/>
              </w:rPr>
              <w:t xml:space="preserve"> ratunkowe</w:t>
            </w:r>
            <w:r w:rsidR="00E77042">
              <w:rPr>
                <w:rFonts w:cs="Arial"/>
                <w:sz w:val="20"/>
                <w:lang w:val="pl-PL"/>
              </w:rPr>
              <w:t>go</w:t>
            </w:r>
            <w:r>
              <w:rPr>
                <w:rFonts w:cs="Arial"/>
                <w:sz w:val="20"/>
                <w:lang w:val="pl-PL"/>
              </w:rPr>
              <w:t>/lekarz</w:t>
            </w:r>
            <w:r w:rsidR="00E77042">
              <w:rPr>
                <w:rFonts w:cs="Arial"/>
                <w:sz w:val="20"/>
                <w:lang w:val="pl-PL"/>
              </w:rPr>
              <w:t>a</w:t>
            </w:r>
            <w:r>
              <w:rPr>
                <w:rFonts w:cs="Arial"/>
                <w:sz w:val="20"/>
                <w:lang w:val="pl-PL"/>
              </w:rPr>
              <w:t xml:space="preserve"> pogotowia ratunkowego!</w:t>
            </w:r>
          </w:p>
          <w:p w:rsidR="00320697" w:rsidRPr="006234DD" w:rsidRDefault="009A750B" w:rsidP="00320697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Pr="00320697" w:rsidRDefault="00021664" w:rsidP="00320697">
            <w:pPr>
              <w:ind w:left="360"/>
              <w:rPr>
                <w:rFonts w:cs="Arial"/>
                <w:sz w:val="20"/>
              </w:rPr>
            </w:pPr>
            <w:r w:rsidRPr="00320697">
              <w:rPr>
                <w:rFonts w:cs="Arial"/>
                <w:sz w:val="20"/>
                <w:lang w:val="pl-PL"/>
              </w:rPr>
              <w:t>Osoby przeszkolone w udzielaniu pierwszej pomoc</w:t>
            </w:r>
            <w:r>
              <w:rPr>
                <w:rFonts w:cs="Arial"/>
                <w:sz w:val="20"/>
                <w:lang w:val="pl-PL"/>
              </w:rPr>
              <w:t>y:</w:t>
            </w:r>
            <w:r w:rsidR="005557BE"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sz w:val="20"/>
                <w:lang w:val="pl-PL"/>
              </w:rPr>
              <w:t>…………………</w:t>
            </w:r>
            <w:r w:rsidR="005557BE">
              <w:rPr>
                <w:rFonts w:cs="Arial"/>
                <w:sz w:val="20"/>
                <w:lang w:val="pl-PL"/>
              </w:rPr>
              <w:t>…………</w:t>
            </w:r>
            <w:r>
              <w:rPr>
                <w:rFonts w:cs="Arial"/>
                <w:sz w:val="20"/>
                <w:lang w:val="pl-PL"/>
              </w:rPr>
              <w:t>…</w:t>
            </w:r>
          </w:p>
          <w:p w:rsidR="00183D2B" w:rsidRPr="005F0774" w:rsidRDefault="009A750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21664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53009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21664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KONSERWACJA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2166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9A750B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9A750B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23F5A" w:rsidRDefault="00021664" w:rsidP="00021664">
            <w:pPr>
              <w:pStyle w:val="Listenabsatz"/>
              <w:numPr>
                <w:ilvl w:val="0"/>
                <w:numId w:val="5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Przed rozpoczęciem pracy sprawdzić sprzęt i instalacje. </w:t>
            </w:r>
          </w:p>
          <w:p w:rsidR="00B45650" w:rsidRDefault="00021664" w:rsidP="00021664">
            <w:pPr>
              <w:pStyle w:val="Listenabsatz"/>
              <w:numPr>
                <w:ilvl w:val="0"/>
                <w:numId w:val="5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Przestrzegać zaleceń producenta dotyczących okresów międzyobsługowych.</w:t>
            </w:r>
          </w:p>
          <w:p w:rsidR="00B45650" w:rsidRDefault="00021664" w:rsidP="00021664">
            <w:pPr>
              <w:pStyle w:val="Listenabsatz"/>
              <w:numPr>
                <w:ilvl w:val="0"/>
                <w:numId w:val="5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Dokładne czyszczenie i pielęgnacja sprzętu po zakończeniu doju.</w:t>
            </w:r>
          </w:p>
          <w:p w:rsidR="00183D2B" w:rsidRPr="005F0774" w:rsidRDefault="009A750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9A750B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2166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627606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9A750B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2166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KONSEKWENCJE NIEPRZESTRZEGANIA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9A750B">
            <w:pPr>
              <w:rPr>
                <w:rFonts w:cs="Arial"/>
                <w:sz w:val="20"/>
              </w:rPr>
            </w:pPr>
          </w:p>
        </w:tc>
      </w:tr>
      <w:tr w:rsidR="00627606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9A750B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9A750B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9A750B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Default="00021664" w:rsidP="00021664">
            <w:pPr>
              <w:pStyle w:val="Listenabsatz"/>
              <w:numPr>
                <w:ilvl w:val="0"/>
                <w:numId w:val="6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Konsekwencje zdrowotne: Urazy, choroba!</w:t>
            </w:r>
          </w:p>
          <w:p w:rsidR="00183D2B" w:rsidRPr="005F0774" w:rsidRDefault="009A750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320697" w:rsidRDefault="009A750B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20697" w:rsidRDefault="009A750B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021664" w:rsidP="0032069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9A750B">
            <w:pPr>
              <w:rPr>
                <w:rFonts w:cs="Arial"/>
                <w:sz w:val="20"/>
              </w:rPr>
            </w:pPr>
          </w:p>
        </w:tc>
      </w:tr>
      <w:tr w:rsidR="00627606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02166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02166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021664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9A750B" w:rsidP="00DF7B60">
            <w:pPr>
              <w:rPr>
                <w:rFonts w:cs="Arial"/>
                <w:sz w:val="20"/>
              </w:rPr>
            </w:pPr>
          </w:p>
        </w:tc>
      </w:tr>
    </w:tbl>
    <w:p w:rsidR="008E2BB3" w:rsidRPr="00021664" w:rsidRDefault="009A750B">
      <w:pPr>
        <w:rPr>
          <w:sz w:val="16"/>
          <w:szCs w:val="16"/>
        </w:rPr>
      </w:pPr>
    </w:p>
    <w:sectPr w:rsidR="008E2BB3" w:rsidRPr="00021664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D356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C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A8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A2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E8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81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B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6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E8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DA22D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62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AA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4F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42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40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AD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AC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51B4D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61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A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89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C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C8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09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C3E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2146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A0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67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7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8B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45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22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E2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DC6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544A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CC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049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22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69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28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2D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2D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A3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22047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4F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85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42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AE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07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8A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60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CD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627606"/>
    <w:rsid w:val="00021664"/>
    <w:rsid w:val="004508A9"/>
    <w:rsid w:val="004B663D"/>
    <w:rsid w:val="005557BE"/>
    <w:rsid w:val="00627606"/>
    <w:rsid w:val="009A750B"/>
    <w:rsid w:val="00E7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08A9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2085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7</cp:revision>
  <cp:lastPrinted>2018-09-05T05:51:00Z</cp:lastPrinted>
  <dcterms:created xsi:type="dcterms:W3CDTF">2018-11-12T13:37:00Z</dcterms:created>
  <dcterms:modified xsi:type="dcterms:W3CDTF">2018-11-24T20:34:00Z</dcterms:modified>
</cp:coreProperties>
</file>