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48"/>
        <w:gridCol w:w="404"/>
        <w:gridCol w:w="1845"/>
        <w:gridCol w:w="165"/>
      </w:tblGrid>
      <w:tr w:rsidR="00DF7B60" w:rsidRPr="00C17987" w:rsidTr="004C4D6A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DD52E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ED7BEB" w:rsidRPr="00DD52EC" w:rsidRDefault="00EA6590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Grünpflege</w:t>
            </w:r>
          </w:p>
          <w:p w:rsidR="00EA6590" w:rsidRPr="00DD52EC" w:rsidRDefault="00EA6590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Forst- und </w:t>
            </w:r>
            <w:r w:rsidR="00DD7D90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Waldarbeit</w:t>
            </w:r>
          </w:p>
          <w:p w:rsidR="00085AA9" w:rsidRPr="00C17987" w:rsidRDefault="00085AA9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DD52EC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EA6590" w:rsidRDefault="00EA6590" w:rsidP="00F42B90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>Bekämpfung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5F" w:rsidRDefault="0050295F" w:rsidP="0050295F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923240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864" w:rsidRPr="00014864" w:rsidRDefault="00014864" w:rsidP="00014864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0E5628" w:rsidRPr="00DD52EC" w:rsidRDefault="009E3BF4" w:rsidP="009E3BF4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Firma</w:t>
            </w:r>
            <w:r w:rsidR="000E5628" w:rsidRPr="00DD52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92324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923240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EF7454" w:rsidRDefault="00A95B0B" w:rsidP="00A95B0B">
            <w:pPr>
              <w:jc w:val="center"/>
              <w:rPr>
                <w:rFonts w:cs="Arial"/>
                <w:b/>
                <w:szCs w:val="24"/>
              </w:rPr>
            </w:pPr>
            <w:r w:rsidRPr="00A95B0B">
              <w:rPr>
                <w:rFonts w:cs="Arial"/>
                <w:b/>
                <w:szCs w:val="24"/>
              </w:rPr>
              <w:t>Pflanzenbestandteile</w:t>
            </w:r>
            <w:r w:rsidR="003A6C30" w:rsidRPr="003A6C30">
              <w:rPr>
                <w:rFonts w:cs="Arial"/>
                <w:b/>
                <w:szCs w:val="24"/>
              </w:rPr>
              <w:t xml:space="preserve"> des Riesen-Bärenklau</w:t>
            </w:r>
            <w:r w:rsidR="00CC202F">
              <w:rPr>
                <w:rFonts w:cs="Arial"/>
                <w:b/>
                <w:szCs w:val="24"/>
              </w:rPr>
              <w:t>s</w:t>
            </w:r>
            <w:r w:rsidR="003A6C30" w:rsidRPr="00B56E31">
              <w:rPr>
                <w:szCs w:val="24"/>
              </w:rPr>
              <w:t xml:space="preserve"> </w:t>
            </w:r>
            <w:r w:rsidR="00EF7454" w:rsidRPr="007541BF">
              <w:rPr>
                <w:rFonts w:cs="Arial"/>
                <w:b/>
                <w:szCs w:val="24"/>
              </w:rPr>
              <w:t>(</w:t>
            </w:r>
            <w:proofErr w:type="spellStart"/>
            <w:r w:rsidR="00EF7454" w:rsidRPr="007541BF">
              <w:rPr>
                <w:rFonts w:cs="Arial"/>
                <w:b/>
                <w:szCs w:val="24"/>
              </w:rPr>
              <w:t>Heracleum</w:t>
            </w:r>
            <w:proofErr w:type="spellEnd"/>
            <w:r w:rsidR="00EF7454" w:rsidRPr="007541B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EF7454" w:rsidRPr="007541BF">
              <w:rPr>
                <w:rFonts w:cs="Arial"/>
                <w:b/>
                <w:szCs w:val="24"/>
              </w:rPr>
              <w:t>mantegazzianum</w:t>
            </w:r>
            <w:proofErr w:type="spellEnd"/>
            <w:r w:rsidR="00EF7454" w:rsidRPr="007541BF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4C4D6A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Default="00587970" w:rsidP="00EF7454">
            <w:pPr>
              <w:ind w:left="-70"/>
              <w:rPr>
                <w:rFonts w:cs="Arial"/>
                <w:b/>
                <w:sz w:val="20"/>
              </w:rPr>
            </w:pPr>
          </w:p>
          <w:p w:rsidR="00EF7454" w:rsidRPr="00DD52EC" w:rsidRDefault="00EF7454" w:rsidP="00EF7454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Gesundheitliche Wirkungen:</w:t>
            </w:r>
            <w:r w:rsidR="005C3B1F">
              <w:rPr>
                <w:rFonts w:cs="Arial"/>
                <w:b/>
                <w:sz w:val="22"/>
                <w:szCs w:val="22"/>
              </w:rPr>
              <w:br/>
            </w:r>
          </w:p>
          <w:p w:rsidR="00EF7454" w:rsidRPr="00DD52EC" w:rsidRDefault="00EF7454" w:rsidP="00EF7454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Der Pflanzensaft löst </w:t>
            </w:r>
            <w:proofErr w:type="spellStart"/>
            <w:r w:rsidRPr="00DD52EC">
              <w:rPr>
                <w:rFonts w:cs="Arial"/>
                <w:sz w:val="22"/>
                <w:szCs w:val="22"/>
              </w:rPr>
              <w:t>phototoxische</w:t>
            </w:r>
            <w:proofErr w:type="spellEnd"/>
            <w:r w:rsidRPr="00DD52EC">
              <w:rPr>
                <w:rFonts w:cs="Arial"/>
                <w:sz w:val="22"/>
                <w:szCs w:val="22"/>
              </w:rPr>
              <w:t xml:space="preserve"> Hautreaktionen aus. Durch Berühren der Pflanze bzw. durch Kontakt mit dem Pflanzensaft und Sonneneinstrahlung (UV-Strahlung) können sich schwere Hautentzündungen mit Blasenbildung ("</w:t>
            </w:r>
            <w:proofErr w:type="spellStart"/>
            <w:r w:rsidRPr="00DD52EC">
              <w:rPr>
                <w:rFonts w:cs="Arial"/>
                <w:sz w:val="22"/>
                <w:szCs w:val="22"/>
              </w:rPr>
              <w:t>bullösen</w:t>
            </w:r>
            <w:proofErr w:type="spellEnd"/>
            <w:r w:rsidRPr="00DD52EC">
              <w:rPr>
                <w:rFonts w:cs="Arial"/>
                <w:sz w:val="22"/>
                <w:szCs w:val="22"/>
              </w:rPr>
              <w:t xml:space="preserve"> Wiesendermatitis“) entwickeln.</w:t>
            </w:r>
          </w:p>
          <w:p w:rsidR="00EF7454" w:rsidRPr="008F5BFF" w:rsidRDefault="00EF7454" w:rsidP="008F5BFF">
            <w:pPr>
              <w:numPr>
                <w:ilvl w:val="0"/>
                <w:numId w:val="1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Durch Inhalation der </w:t>
            </w:r>
            <w:proofErr w:type="spellStart"/>
            <w:r w:rsidRPr="00DD52EC">
              <w:rPr>
                <w:rFonts w:cs="Arial"/>
                <w:sz w:val="22"/>
                <w:szCs w:val="22"/>
              </w:rPr>
              <w:t>Furanocumarine</w:t>
            </w:r>
            <w:proofErr w:type="spellEnd"/>
            <w:r w:rsidRPr="00DD52EC">
              <w:rPr>
                <w:rFonts w:cs="Arial"/>
                <w:sz w:val="22"/>
                <w:szCs w:val="22"/>
              </w:rPr>
              <w:t xml:space="preserve"> (pflanzliche Sekundärstoffe), welche an heißen Tagen von der Pflanze freigesetzt werden, sind weitere Gesundheitsschädigungen zu er</w:t>
            </w:r>
            <w:r w:rsidR="008F5BFF" w:rsidRPr="00DD52EC">
              <w:rPr>
                <w:rFonts w:cs="Arial"/>
                <w:sz w:val="22"/>
                <w:szCs w:val="22"/>
              </w:rPr>
              <w:t>warten.</w:t>
            </w:r>
            <w:r w:rsidR="00587970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A47F3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Pr="00C17987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Pr="00C17987" w:rsidRDefault="00B9455E" w:rsidP="00CA47F3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1" name="Bild 1" descr="Zeichen für Schutzvis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3" w:rsidRPr="00C17987" w:rsidRDefault="00B9455E" w:rsidP="00CA47F3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Zeichen für Atemschutzma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3" w:rsidRPr="00C17987" w:rsidRDefault="00B9455E" w:rsidP="00CA47F3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3" w:rsidRPr="00C17987" w:rsidRDefault="00B9455E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3" w:rsidRDefault="00B9455E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zwei Stie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3" w:rsidRDefault="00B9455E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Hände unter Wasserha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7F3" w:rsidRPr="00C17987" w:rsidRDefault="00B9455E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7" name="Bild 7" descr="Hand und Creme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Default="00587970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</w:p>
          <w:p w:rsidR="00187C93" w:rsidRPr="00DD52EC" w:rsidRDefault="00187C93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:rsidR="00F814E9" w:rsidRDefault="00F814E9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187C93" w:rsidRPr="00DD52EC" w:rsidRDefault="00187C93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187C93" w:rsidRPr="00DD52EC" w:rsidRDefault="00187C93" w:rsidP="00187C9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Verwendete Arbeitsmittel sind sachgerecht zu reinigen.</w:t>
            </w:r>
          </w:p>
          <w:p w:rsidR="001B18EF" w:rsidRPr="00DD52EC" w:rsidRDefault="001B18EF" w:rsidP="001B18EF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Hände reinigen.</w:t>
            </w:r>
          </w:p>
          <w:p w:rsidR="00187C93" w:rsidRPr="00DD52EC" w:rsidRDefault="00187C93" w:rsidP="00187C93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Nach Verlassen des Arbeitsbereiches ist PSA zum mehrfachen Gebrauch (Plexiglasvisier, </w:t>
            </w:r>
            <w:r w:rsidRPr="00DD52EC">
              <w:rPr>
                <w:rFonts w:ascii="Helvetica-Bold" w:hAnsi="Helvetica-Bold" w:cs="Helvetica-Bold"/>
                <w:bCs/>
                <w:sz w:val="22"/>
                <w:szCs w:val="22"/>
              </w:rPr>
              <w:t>Chemikalienschutzhandschuhe</w:t>
            </w:r>
            <w:r w:rsidRPr="00DD52EC">
              <w:rPr>
                <w:rFonts w:cs="Arial"/>
                <w:sz w:val="22"/>
                <w:szCs w:val="22"/>
              </w:rPr>
              <w:t>, Schuhwerk) abzulegen und sachgerecht zu reinigen.</w:t>
            </w:r>
          </w:p>
          <w:p w:rsidR="00F814E9" w:rsidRDefault="00F814E9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187C93" w:rsidRPr="00DD52EC" w:rsidRDefault="00187C93" w:rsidP="00187C9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Die Pflanzen dürfen nicht berührt werden, jeglicher Hautkontakt ist zu vermeiden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Mit Pflanzensaft benetzte Arbeitskleidung ist vorsichtig abzulegen.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Die Pflanzen sind nach Möglichkeit im Jungstadium zu bekämpfen, z. B. durch Ausstechen oder </w:t>
            </w:r>
            <w:proofErr w:type="spellStart"/>
            <w:r w:rsidRPr="00DD52EC">
              <w:rPr>
                <w:rFonts w:cs="Arial"/>
                <w:sz w:val="22"/>
                <w:szCs w:val="22"/>
              </w:rPr>
              <w:t>Umtreten</w:t>
            </w:r>
            <w:proofErr w:type="spellEnd"/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Das Entfernen von Beständen sollte bei Trockenheit und möglichst an Tagen mit Bewölkung bzw. bei Dämmerung erfolgen.</w:t>
            </w:r>
          </w:p>
          <w:p w:rsidR="00F814E9" w:rsidRDefault="00F814E9" w:rsidP="00187C93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187C93" w:rsidRPr="00DD52EC" w:rsidRDefault="00187C93" w:rsidP="00187C93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Empfohlene PSA: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Plexiglasvisier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partikelfiltrierender Atemschutz (im Handel erhältlich als Feinstaubmaske) FFP2/FFP3 mit Aus</w:t>
            </w:r>
            <w:r w:rsidR="000E7AAD" w:rsidRPr="00DD52EC">
              <w:rPr>
                <w:rFonts w:cs="Arial"/>
                <w:sz w:val="22"/>
                <w:szCs w:val="22"/>
              </w:rPr>
              <w:t>-</w:t>
            </w:r>
            <w:proofErr w:type="spellStart"/>
            <w:r w:rsidRPr="00DD52EC">
              <w:rPr>
                <w:rFonts w:cs="Arial"/>
                <w:sz w:val="22"/>
                <w:szCs w:val="22"/>
              </w:rPr>
              <w:t>atemventil</w:t>
            </w:r>
            <w:proofErr w:type="spellEnd"/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körperbedeckende Arb</w:t>
            </w:r>
            <w:r w:rsidR="00A36F3B" w:rsidRPr="00DD52EC">
              <w:rPr>
                <w:rFonts w:cs="Arial"/>
                <w:sz w:val="22"/>
                <w:szCs w:val="22"/>
              </w:rPr>
              <w:t xml:space="preserve">eitskleidung mit Kopfbedeckung </w:t>
            </w:r>
            <w:r w:rsidRPr="00DD52EC">
              <w:rPr>
                <w:rFonts w:cs="Arial"/>
                <w:sz w:val="22"/>
                <w:szCs w:val="22"/>
              </w:rPr>
              <w:t xml:space="preserve">oder Chemikalienschutzanzug, </w:t>
            </w:r>
            <w:r w:rsidR="00F814E9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z. B. Einweg-Overall Chemikalienschutz Typ 4B</w:t>
            </w:r>
          </w:p>
          <w:p w:rsidR="00187C93" w:rsidRPr="00DD52EC" w:rsidRDefault="00187C93" w:rsidP="00187C93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Chemikalienschutzhandschuhe (da neben der Gefährdung durch den Pflanzensaft eine mechanische Gefährdung auftritt)</w:t>
            </w:r>
          </w:p>
          <w:p w:rsidR="0072651C" w:rsidRPr="00C17987" w:rsidRDefault="00187C93" w:rsidP="00F814E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DD52EC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DD52EC">
              <w:rPr>
                <w:rFonts w:cs="Arial"/>
                <w:sz w:val="22"/>
                <w:szCs w:val="22"/>
              </w:rPr>
              <w:t xml:space="preserve"> Schuhe oder Stiefel</w:t>
            </w:r>
            <w:r w:rsidR="005C3B1F">
              <w:rPr>
                <w:rFonts w:cs="Arial"/>
                <w:sz w:val="20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F814E9" w:rsidRPr="00C17987" w:rsidTr="00583534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F814E9" w:rsidRPr="00C17987" w:rsidRDefault="00F814E9" w:rsidP="00583534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F814E9" w:rsidRPr="0014741C" w:rsidRDefault="00F814E9" w:rsidP="00583534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F814E9" w:rsidRPr="00C17987" w:rsidRDefault="00F814E9" w:rsidP="00583534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3975DC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87970" w:rsidRDefault="00587970" w:rsidP="00587970">
            <w:pPr>
              <w:ind w:left="360"/>
              <w:rPr>
                <w:rFonts w:cs="Arial"/>
                <w:sz w:val="20"/>
              </w:rPr>
            </w:pPr>
          </w:p>
          <w:p w:rsidR="00ED7BEB" w:rsidRPr="00DD52EC" w:rsidRDefault="00231CCF" w:rsidP="008400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Beim Auftreten akuter Krankheitssymptome ist ein Arzt aufzusuchen mit dem Hinweis auf die </w:t>
            </w:r>
            <w:r w:rsidR="0084008A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gefährdende Tätigkeit.</w:t>
            </w:r>
          </w:p>
          <w:p w:rsidR="00C17987" w:rsidRPr="00231CCF" w:rsidRDefault="00231CCF" w:rsidP="008400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Es wird empfohlen, die Beratung durch den Betriebsarzt bzw. die Arbeitsmedizinische Vorsorge </w:t>
            </w:r>
            <w:r w:rsidR="0084008A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zu nutzen.</w:t>
            </w:r>
            <w:r w:rsidR="00587970">
              <w:rPr>
                <w:rFonts w:cs="Arial"/>
                <w:sz w:val="20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F814E9" w:rsidRPr="00C17987" w:rsidRDefault="00F814E9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C73003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73003" w:rsidRPr="00C17987" w:rsidRDefault="00B50C5A" w:rsidP="0022028A">
            <w:pPr>
              <w:rPr>
                <w:rFonts w:cs="Arial"/>
                <w:sz w:val="20"/>
              </w:rPr>
            </w:pPr>
            <w:r>
              <w:br w:type="page"/>
            </w:r>
            <w:r w:rsidR="00C73003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C73003" w:rsidRPr="00C17A88" w:rsidRDefault="00C73003" w:rsidP="0022028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73003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C73003" w:rsidRPr="00C576E1" w:rsidRDefault="00C73003" w:rsidP="0022028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73003" w:rsidRPr="00C17987" w:rsidRDefault="00C73003" w:rsidP="0022028A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84008A" w:rsidRDefault="0084008A" w:rsidP="0002364E">
            <w:pPr>
              <w:rPr>
                <w:rFonts w:cs="Arial"/>
                <w:noProof/>
                <w:sz w:val="20"/>
              </w:rPr>
            </w:pPr>
          </w:p>
          <w:p w:rsidR="0084008A" w:rsidRDefault="0084008A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B9455E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Default="00587970" w:rsidP="00587970">
            <w:pPr>
              <w:ind w:left="360"/>
              <w:rPr>
                <w:rFonts w:cs="Arial"/>
                <w:sz w:val="20"/>
              </w:rPr>
            </w:pPr>
          </w:p>
          <w:p w:rsidR="00231CCF" w:rsidRPr="00DD52EC" w:rsidRDefault="00231CCF" w:rsidP="00231CC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Verletzungen sind dem Verantwortlichen im Betrieb zu melden, in das Verbandbuch einzutragen und ggf. ist ein Arzt aufzusuchen.</w:t>
            </w:r>
          </w:p>
          <w:p w:rsidR="00231CCF" w:rsidRPr="00DD52EC" w:rsidRDefault="00231CCF" w:rsidP="00231CC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Auch kleine Wunden sind sachgerecht zu behandeln.</w:t>
            </w:r>
          </w:p>
          <w:p w:rsidR="00231CCF" w:rsidRPr="00231CCF" w:rsidRDefault="00231CCF" w:rsidP="00231CC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>Nach Hautkontakt ist die betroffene Stelle mit viel Wasser abzuspülen und abzudecken, ggf. ist ein Arzt aufzusuchen.</w:t>
            </w:r>
            <w:r w:rsidR="00587970">
              <w:rPr>
                <w:rFonts w:cs="Arial"/>
                <w:sz w:val="20"/>
              </w:rPr>
              <w:br/>
            </w:r>
          </w:p>
          <w:p w:rsidR="00085AA9" w:rsidRDefault="006B5276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F814E9" w:rsidRPr="00B32A0E" w:rsidRDefault="00F814E9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87970" w:rsidRDefault="00587970" w:rsidP="00231CCF">
            <w:pPr>
              <w:rPr>
                <w:rFonts w:cs="Arial"/>
                <w:sz w:val="20"/>
              </w:rPr>
            </w:pPr>
          </w:p>
          <w:p w:rsidR="0072651C" w:rsidRPr="00DD52EC" w:rsidRDefault="00231CCF" w:rsidP="00DD52EC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Chemikalienschutzanzug (Einweg-Overall) ist nach dem Einsatz mit der Außenseite nach innen zusammenzurollen und mit weiterer PSA zum einmaligen Gebrauch (Feinstaubmaske) in dicht schließenden Behältern zu entsorgen.</w:t>
            </w:r>
          </w:p>
          <w:p w:rsidR="00587970" w:rsidRPr="00231CCF" w:rsidRDefault="00587970" w:rsidP="00231CCF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C4D6A" w:rsidRPr="00C17987" w:rsidTr="004C4D6A">
        <w:trPr>
          <w:trHeight w:hRule="exact" w:val="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C4D6A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4C4D6A" w:rsidRPr="00EC70E1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D6A" w:rsidRPr="0001190C" w:rsidRDefault="004C4D6A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bookmarkStart w:id="0" w:name="_GoBack" w:colFirst="0" w:colLast="2"/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4C4D6A" w:rsidRDefault="004C4D6A" w:rsidP="001E742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D6A" w:rsidRPr="00EC70E1" w:rsidRDefault="004C4D6A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bookmarkEnd w:id="0"/>
            <w:tr w:rsidR="004C4D6A" w:rsidRPr="00AD73C9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C4D6A" w:rsidRPr="00AD73C9" w:rsidRDefault="004C4D6A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4C4D6A" w:rsidRPr="00F93C07" w:rsidRDefault="004C4D6A" w:rsidP="001E7423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C4D6A" w:rsidRPr="00C17987" w:rsidTr="004C4D6A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C17987" w:rsidRDefault="00C17987" w:rsidP="003875DD">
      <w:pPr>
        <w:tabs>
          <w:tab w:val="left" w:pos="1701"/>
        </w:tabs>
        <w:autoSpaceDE w:val="0"/>
        <w:autoSpaceDN w:val="0"/>
        <w:adjustRightInd w:val="0"/>
        <w:rPr>
          <w:rFonts w:cs="Arial"/>
          <w:sz w:val="20"/>
        </w:rPr>
      </w:pPr>
    </w:p>
    <w:p w:rsidR="00171FFC" w:rsidRPr="00171FFC" w:rsidRDefault="00171FFC" w:rsidP="00171FFC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 w:rsidRPr="00171FFC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E4123D">
        <w:rPr>
          <w:rFonts w:cs="Arial"/>
          <w:sz w:val="12"/>
          <w:szCs w:val="12"/>
        </w:rPr>
        <w:t>11</w:t>
      </w:r>
      <w:r w:rsidR="003F6BAD">
        <w:rPr>
          <w:rFonts w:cs="Arial"/>
          <w:sz w:val="12"/>
          <w:szCs w:val="12"/>
        </w:rPr>
        <w:t>/</w:t>
      </w:r>
      <w:r w:rsidRPr="00171FFC">
        <w:rPr>
          <w:rFonts w:cs="Arial"/>
          <w:sz w:val="12"/>
          <w:szCs w:val="12"/>
        </w:rPr>
        <w:t>2023</w:t>
      </w:r>
    </w:p>
    <w:sectPr w:rsidR="00171FFC" w:rsidRPr="00171FFC" w:rsidSect="00D77095">
      <w:footerReference w:type="even" r:id="rId15"/>
      <w:footerReference w:type="default" r:id="rId16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72" w:rsidRDefault="001C2E72">
      <w:r>
        <w:separator/>
      </w:r>
    </w:p>
  </w:endnote>
  <w:endnote w:type="continuationSeparator" w:id="0">
    <w:p w:rsidR="001C2E72" w:rsidRDefault="001C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8" w:rsidRDefault="000E5628" w:rsidP="00B2475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E5628" w:rsidRDefault="000E5628" w:rsidP="003F5E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8" w:rsidRPr="003F5E19" w:rsidRDefault="000E5628" w:rsidP="003F5E19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72" w:rsidRDefault="001C2E72">
      <w:r>
        <w:separator/>
      </w:r>
    </w:p>
  </w:footnote>
  <w:footnote w:type="continuationSeparator" w:id="0">
    <w:p w:rsidR="001C2E72" w:rsidRDefault="001C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60E2D"/>
    <w:multiLevelType w:val="hybridMultilevel"/>
    <w:tmpl w:val="21FE96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4864"/>
    <w:rsid w:val="0002364E"/>
    <w:rsid w:val="00050947"/>
    <w:rsid w:val="00062917"/>
    <w:rsid w:val="00067A91"/>
    <w:rsid w:val="00085AA9"/>
    <w:rsid w:val="000A6031"/>
    <w:rsid w:val="000B1164"/>
    <w:rsid w:val="000D47C5"/>
    <w:rsid w:val="000E5628"/>
    <w:rsid w:val="000E7AAD"/>
    <w:rsid w:val="000F5C37"/>
    <w:rsid w:val="0014741C"/>
    <w:rsid w:val="00171FFC"/>
    <w:rsid w:val="00187C93"/>
    <w:rsid w:val="001B18EF"/>
    <w:rsid w:val="001C2E72"/>
    <w:rsid w:val="001D1990"/>
    <w:rsid w:val="00213F21"/>
    <w:rsid w:val="00231CCF"/>
    <w:rsid w:val="00260AF0"/>
    <w:rsid w:val="00285F7C"/>
    <w:rsid w:val="003071EA"/>
    <w:rsid w:val="00384857"/>
    <w:rsid w:val="003875DD"/>
    <w:rsid w:val="003975DC"/>
    <w:rsid w:val="003A6C30"/>
    <w:rsid w:val="003E55DB"/>
    <w:rsid w:val="003F5E19"/>
    <w:rsid w:val="003F6BAD"/>
    <w:rsid w:val="004003D3"/>
    <w:rsid w:val="004103CA"/>
    <w:rsid w:val="00410BAB"/>
    <w:rsid w:val="00411796"/>
    <w:rsid w:val="00412DAE"/>
    <w:rsid w:val="00425BF8"/>
    <w:rsid w:val="0043086D"/>
    <w:rsid w:val="004407FF"/>
    <w:rsid w:val="00451A19"/>
    <w:rsid w:val="0045241F"/>
    <w:rsid w:val="00461394"/>
    <w:rsid w:val="00480345"/>
    <w:rsid w:val="0049794A"/>
    <w:rsid w:val="004C4D6A"/>
    <w:rsid w:val="004C799A"/>
    <w:rsid w:val="0050295F"/>
    <w:rsid w:val="00522D15"/>
    <w:rsid w:val="00535DCA"/>
    <w:rsid w:val="00587970"/>
    <w:rsid w:val="005B32BF"/>
    <w:rsid w:val="005C3B1F"/>
    <w:rsid w:val="005D42F2"/>
    <w:rsid w:val="005E63D2"/>
    <w:rsid w:val="005F77E8"/>
    <w:rsid w:val="00612BE8"/>
    <w:rsid w:val="0064376A"/>
    <w:rsid w:val="006A1BFC"/>
    <w:rsid w:val="006A1F4F"/>
    <w:rsid w:val="006B5276"/>
    <w:rsid w:val="006C10CC"/>
    <w:rsid w:val="006C6D97"/>
    <w:rsid w:val="00716E93"/>
    <w:rsid w:val="0072651C"/>
    <w:rsid w:val="007541BF"/>
    <w:rsid w:val="007B29F8"/>
    <w:rsid w:val="007F65C9"/>
    <w:rsid w:val="0084008A"/>
    <w:rsid w:val="00870A59"/>
    <w:rsid w:val="008B337B"/>
    <w:rsid w:val="008E2BB3"/>
    <w:rsid w:val="008F5BFF"/>
    <w:rsid w:val="00923240"/>
    <w:rsid w:val="0092403E"/>
    <w:rsid w:val="009A0DBF"/>
    <w:rsid w:val="009A5B2D"/>
    <w:rsid w:val="009B1A34"/>
    <w:rsid w:val="009B674F"/>
    <w:rsid w:val="009C4638"/>
    <w:rsid w:val="009E3BF4"/>
    <w:rsid w:val="00A22881"/>
    <w:rsid w:val="00A36F3B"/>
    <w:rsid w:val="00A374D5"/>
    <w:rsid w:val="00A878D0"/>
    <w:rsid w:val="00A93AA3"/>
    <w:rsid w:val="00A95B0B"/>
    <w:rsid w:val="00AE6068"/>
    <w:rsid w:val="00B0499A"/>
    <w:rsid w:val="00B04E08"/>
    <w:rsid w:val="00B101F6"/>
    <w:rsid w:val="00B23EA7"/>
    <w:rsid w:val="00B24754"/>
    <w:rsid w:val="00B32A0E"/>
    <w:rsid w:val="00B50C5A"/>
    <w:rsid w:val="00B9455E"/>
    <w:rsid w:val="00BA0811"/>
    <w:rsid w:val="00BF1D7F"/>
    <w:rsid w:val="00BF4EA3"/>
    <w:rsid w:val="00C17987"/>
    <w:rsid w:val="00C17A88"/>
    <w:rsid w:val="00C31BDD"/>
    <w:rsid w:val="00C33065"/>
    <w:rsid w:val="00C33E82"/>
    <w:rsid w:val="00C36D09"/>
    <w:rsid w:val="00C73003"/>
    <w:rsid w:val="00CA47F3"/>
    <w:rsid w:val="00CA5E3B"/>
    <w:rsid w:val="00CB2F61"/>
    <w:rsid w:val="00CC202F"/>
    <w:rsid w:val="00CD3F08"/>
    <w:rsid w:val="00CE4E26"/>
    <w:rsid w:val="00D00D3F"/>
    <w:rsid w:val="00D11F7B"/>
    <w:rsid w:val="00D21D66"/>
    <w:rsid w:val="00D77095"/>
    <w:rsid w:val="00DA352F"/>
    <w:rsid w:val="00DB4519"/>
    <w:rsid w:val="00DD52EC"/>
    <w:rsid w:val="00DD7D90"/>
    <w:rsid w:val="00DF7B60"/>
    <w:rsid w:val="00E4123D"/>
    <w:rsid w:val="00E67B0F"/>
    <w:rsid w:val="00E845BE"/>
    <w:rsid w:val="00E8701F"/>
    <w:rsid w:val="00EA4687"/>
    <w:rsid w:val="00EA6590"/>
    <w:rsid w:val="00ED7BEB"/>
    <w:rsid w:val="00EF7454"/>
    <w:rsid w:val="00F42B90"/>
    <w:rsid w:val="00F578ED"/>
    <w:rsid w:val="00F814E9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52B6-6094-4977-8A22-91CBC36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3F5E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5E1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F5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Riesen-Baerenklau</vt:lpstr>
    </vt:vector>
  </TitlesOfParts>
  <Company>SVLFG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Riesen-Baerenklau</dc:title>
  <dc:subject/>
  <dc:creator/>
  <cp:keywords/>
  <dc:description/>
  <cp:lastModifiedBy>svlfg</cp:lastModifiedBy>
  <cp:revision>9</cp:revision>
  <cp:lastPrinted>2012-08-15T09:54:00Z</cp:lastPrinted>
  <dcterms:created xsi:type="dcterms:W3CDTF">2023-08-17T13:28:00Z</dcterms:created>
  <dcterms:modified xsi:type="dcterms:W3CDTF">2023-11-20T08:06:00Z</dcterms:modified>
</cp:coreProperties>
</file>